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64662" w14:textId="77777777" w:rsidR="00046060" w:rsidRDefault="00046060">
      <w:pPr>
        <w:pStyle w:val="Sinespaciado"/>
        <w:rPr>
          <w:rFonts w:ascii="Times New Roman" w:eastAsiaTheme="minorEastAsia" w:hAnsi="Times New Roman" w:cs="Times New Roman"/>
          <w:sz w:val="2"/>
          <w:szCs w:val="24"/>
          <w:lang w:val="es-ES_tradnl" w:eastAsia="es-ES"/>
        </w:rPr>
      </w:pPr>
      <w:bookmarkStart w:id="0" w:name="_Hlk49250386"/>
      <w:bookmarkStart w:id="1" w:name="_Toc410402057"/>
      <w:bookmarkStart w:id="2" w:name="_Toc457550818"/>
      <w:bookmarkEnd w:id="0"/>
      <w:r>
        <w:rPr>
          <w:rFonts w:ascii="Times New Roman" w:eastAsiaTheme="minorEastAsia" w:hAnsi="Times New Roman" w:cs="Times New Roman"/>
          <w:sz w:val="2"/>
          <w:szCs w:val="24"/>
          <w:lang w:val="es-ES_tradnl" w:eastAsia="es-ES"/>
        </w:rPr>
        <w:tab/>
      </w:r>
    </w:p>
    <w:sdt>
      <w:sdtPr>
        <w:rPr>
          <w:rFonts w:ascii="Times New Roman" w:eastAsiaTheme="minorEastAsia" w:hAnsi="Times New Roman" w:cs="Times New Roman"/>
          <w:sz w:val="2"/>
          <w:szCs w:val="24"/>
          <w:lang w:val="es-ES_tradnl" w:eastAsia="es-ES"/>
        </w:rPr>
        <w:id w:val="-1951234547"/>
        <w:docPartObj>
          <w:docPartGallery w:val="Cover Pages"/>
          <w:docPartUnique/>
        </w:docPartObj>
      </w:sdtPr>
      <w:sdtEndPr>
        <w:rPr>
          <w:rFonts w:eastAsiaTheme="majorEastAsia"/>
          <w:b/>
          <w:bCs/>
          <w:color w:val="FF0000"/>
          <w:sz w:val="22"/>
          <w:szCs w:val="26"/>
          <w:lang w:val="es-GT"/>
        </w:rPr>
      </w:sdtEndPr>
      <w:sdtContent>
        <w:p w14:paraId="4866D187" w14:textId="77777777" w:rsidR="00DB22E2" w:rsidRPr="00DB556E" w:rsidRDefault="009A1471">
          <w:pPr>
            <w:pStyle w:val="Sinespaciado"/>
            <w:rPr>
              <w:rFonts w:ascii="Times New Roman" w:hAnsi="Times New Roman" w:cs="Times New Roman"/>
              <w:sz w:val="2"/>
            </w:rPr>
          </w:pPr>
          <w:r w:rsidRPr="00DB556E">
            <w:rPr>
              <w:rFonts w:ascii="Times New Roman" w:hAnsi="Times New Roman" w:cs="Times New Roman"/>
              <w:noProof/>
              <w:lang w:eastAsia="es-GT"/>
            </w:rPr>
            <mc:AlternateContent>
              <mc:Choice Requires="wps">
                <w:drawing>
                  <wp:anchor distT="0" distB="0" distL="114300" distR="114300" simplePos="0" relativeHeight="251658242" behindDoc="0" locked="0" layoutInCell="1" allowOverlap="1" wp14:anchorId="49730031" wp14:editId="046655F8">
                    <wp:simplePos x="0" y="0"/>
                    <wp:positionH relativeFrom="page">
                      <wp:align>center</wp:align>
                    </wp:positionH>
                    <wp:positionV relativeFrom="margin">
                      <wp:align>top</wp:align>
                    </wp:positionV>
                    <wp:extent cx="5943600" cy="234461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2344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77777777" w:rsidR="000A5B5B" w:rsidRPr="00BF230D" w:rsidRDefault="006F0A2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535E9">
                                      <w:rPr>
                                        <w:rFonts w:ascii="Times New Roman" w:hAnsi="Times New Roman" w:cs="Times New Roman"/>
                                        <w:b/>
                                        <w:bCs/>
                                        <w:i/>
                                        <w:iCs/>
                                        <w:color w:val="4F81BD" w:themeColor="accent1"/>
                                        <w:sz w:val="36"/>
                                        <w:szCs w:val="36"/>
                                      </w:rPr>
                                      <w:t>Primer</w:t>
                                    </w:r>
                                    <w:r w:rsidR="000A5B5B">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F535E9">
                                  <w:rPr>
                                    <w:rFonts w:ascii="Times New Roman" w:hAnsi="Times New Roman" w:cs="Times New Roman"/>
                                    <w:b/>
                                    <w:bCs/>
                                    <w:i/>
                                    <w:iCs/>
                                    <w:color w:val="4F81BD" w:themeColor="accent1"/>
                                    <w:sz w:val="36"/>
                                    <w:szCs w:val="36"/>
                                  </w:rPr>
                                  <w:t>2</w:t>
                                </w:r>
                                <w:r w:rsidR="000A5B5B" w:rsidRPr="00BF230D">
                                  <w:rPr>
                                    <w:rFonts w:ascii="Times New Roman" w:hAnsi="Times New Roman" w:cs="Times New Roman"/>
                                    <w:b/>
                                    <w:bCs/>
                                    <w:i/>
                                    <w:iCs/>
                                    <w:lang w:val="es-ES"/>
                                  </w:rPr>
                                  <w:t xml:space="preserve"> </w:t>
                                </w:r>
                              </w:p>
                              <w:p w14:paraId="39A113FF" w14:textId="77777777" w:rsidR="000A5B5B" w:rsidRDefault="000A5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49730031" id="_x0000_t202" coordsize="21600,21600" o:spt="202" path="m,l,21600r21600,l21600,xe">
                    <v:stroke joinstyle="miter"/>
                    <v:path gradientshapeok="t" o:connecttype="rect"/>
                  </v:shapetype>
                  <v:shape id="Cuadro de texto 62" o:spid="_x0000_s1026" type="#_x0000_t202" style="position:absolute;margin-left:0;margin-top:0;width:468pt;height:184.6pt;z-index:251658242;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9+aQIAAD4FAAAOAAAAZHJzL2Uyb0RvYy54bWysVEtvGjEQvlfqf7B8LwsEaIOyRJSIqhJK&#10;opIqZ+O1w6pej2sP7NJf37F3eSjtJVUv9tjzzed5+ua2qQzbKx9KsDkf9PqcKSuhKO1Lzr8/LT98&#10;4iygsIUwYFXODyrw29n7dze1m6ohbMEUyjMisWFau5xvEd00y4LcqkqEHjhlSanBVwLp6F+ywoua&#10;2CuTDfv9SVaDL5wHqUKg27tWyWeJX2sl8UHroJCZnJNvmFaf1k1cs9mNmL544bal7NwQ/+BFJUpL&#10;j56o7gQKtvPlH1RVKT0E0NiTUGWgdSlVioGiGfRfRbPeCqdSLJSc4E5pCv+PVt7v1+7RM2w+Q0MF&#10;jAmpXZgGuozxNNpXcSdPGekphYdT2lSDTNLl+Hp0NemTSpJueDUaTQbjyJOdzZ0P+EVBxaKQc091&#10;SekS+1XAFnqExNcsLEtjUm2MZXXOJ1fjfjI4aYjc2IhVqcodzdn1JOHBqIgx9pvSrCxSBPEi9Zda&#10;GM/2gjpDSKkspuATL6EjSpMTbzHs8Gev3mLcxnF8GSyejKvSgk/Rv3K7+HF0Wbd4yvlF3FHEZtN0&#10;Jd1AcaBKe2iHIDi5LKkaKxHwUXjqeqogTTI+0KINUNahkzjbgv/1t/uIp2YkLWc1TVHOw8+d8Ioz&#10;89VSm14PRqM4dukwGn8c0sFfajaXGrurFkDlGNCf4WQSIx7NUdQeqmca+Hl8lVTCSno753gUF9jO&#10;Nn0YUs3nCUSD5gSu7NrJSB2rE3vtqXkW3nUNidTL93CcNzF91ZctNlpamO8QdJmaNia4zWqXeBrS&#10;1PbdhxJ/gctzQp2/vdlvAAAA//8DAFBLAwQUAAYACAAAACEA7WcXVNsAAAAFAQAADwAAAGRycy9k&#10;b3ducmV2LnhtbEyP3UrDQBCF7wXfYZmCd3bTFqON2RQRAr0oSKoPMM1Ok9D9idltEt/e0Ru9OXA4&#10;wznf5LvZGjHSEDrvFKyWCQhytdedaxR8vJf3TyBCRKfReEcKvijArri9yTHTfnIVjcfYCC5xIUMF&#10;bYx9JmWoW7IYlr4nx9nZDxYj26GResCJy62R6yRJpcXO8UKLPb22VF+OV6vA7KfHcV9Wh/Oqauby&#10;0PVv+Pmg1N1ifnkGEWmOf8fwg8/oUDDTyV+dDsIo4Efir3K23aRsTwo26XYNssjlf/riGwAA//8D&#10;AFBLAQItABQABgAIAAAAIQC2gziS/gAAAOEBAAATAAAAAAAAAAAAAAAAAAAAAABbQ29udGVudF9U&#10;eXBlc10ueG1sUEsBAi0AFAAGAAgAAAAhADj9If/WAAAAlAEAAAsAAAAAAAAAAAAAAAAALwEAAF9y&#10;ZWxzLy5yZWxzUEsBAi0AFAAGAAgAAAAhANDPf35pAgAAPgUAAA4AAAAAAAAAAAAAAAAALgIAAGRy&#10;cy9lMm9Eb2MueG1sUEsBAi0AFAAGAAgAAAAhAO1nF1TbAAAABQEAAA8AAAAAAAAAAAAAAAAAwwQA&#10;AGRycy9kb3ducmV2LnhtbFBLBQYAAAAABAAEAPMAAADLBQAAAAA=&#10;" filled="f" stroked="f" strokeweight=".5pt">
                    <v:textbox>
                      <w:txbxContent>
                        <w:sdt>
                          <w:sdtPr>
                            <w:rPr>
                              <w:rFonts w:ascii="Times New Roman" w:eastAsiaTheme="majorEastAsia" w:hAnsi="Times New Roman" w:cs="Times New Roman"/>
                              <w:caps/>
                              <w:color w:val="1F497D" w:themeColor="text2"/>
                              <w:sz w:val="64"/>
                              <w:szCs w:val="6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4EA9183D" w14:textId="77777777" w:rsidR="000A5B5B" w:rsidRPr="00445193" w:rsidRDefault="000A5B5B">
                              <w:pPr>
                                <w:pStyle w:val="Sinespaciado"/>
                                <w:rPr>
                                  <w:rFonts w:asciiTheme="majorHAnsi" w:eastAsiaTheme="majorEastAsia" w:hAnsiTheme="majorHAnsi" w:cstheme="majorBidi"/>
                                  <w:caps/>
                                  <w:color w:val="1F497D" w:themeColor="text2"/>
                                  <w:sz w:val="68"/>
                                  <w:szCs w:val="68"/>
                                </w:rPr>
                              </w:pPr>
                              <w:r w:rsidRPr="00BF230D">
                                <w:rPr>
                                  <w:rFonts w:ascii="Times New Roman" w:eastAsiaTheme="majorEastAsia" w:hAnsi="Times New Roman" w:cs="Times New Roman"/>
                                  <w:caps/>
                                  <w:color w:val="1F497D" w:themeColor="text2"/>
                                  <w:sz w:val="64"/>
                                  <w:szCs w:val="64"/>
                                </w:rPr>
                                <w:t>Informe de las Finanz</w:t>
                              </w:r>
                              <w:r>
                                <w:rPr>
                                  <w:rFonts w:ascii="Times New Roman" w:eastAsiaTheme="majorEastAsia" w:hAnsi="Times New Roman" w:cs="Times New Roman"/>
                                  <w:caps/>
                                  <w:color w:val="1F497D" w:themeColor="text2"/>
                                  <w:sz w:val="64"/>
                                  <w:szCs w:val="64"/>
                                </w:rPr>
                                <w:t>A</w:t>
                              </w:r>
                              <w:r w:rsidRPr="00BF230D">
                                <w:rPr>
                                  <w:rFonts w:ascii="Times New Roman" w:eastAsiaTheme="majorEastAsia" w:hAnsi="Times New Roman" w:cs="Times New Roman"/>
                                  <w:caps/>
                                  <w:color w:val="1F497D" w:themeColor="text2"/>
                                  <w:sz w:val="64"/>
                                  <w:szCs w:val="64"/>
                                </w:rPr>
                                <w:t>s públicas</w:t>
                              </w:r>
                            </w:p>
                          </w:sdtContent>
                        </w:sdt>
                        <w:p w14:paraId="4813C609" w14:textId="77777777" w:rsidR="000A5B5B" w:rsidRPr="00BF230D" w:rsidRDefault="006F0A20">
                          <w:pPr>
                            <w:pStyle w:val="Sinespaciado"/>
                            <w:spacing w:before="120"/>
                            <w:rPr>
                              <w:rFonts w:ascii="Times New Roman" w:hAnsi="Times New Roman" w:cs="Times New Roman"/>
                              <w:b/>
                              <w:bCs/>
                              <w:i/>
                              <w:iCs/>
                              <w:color w:val="4F81BD" w:themeColor="accent1"/>
                              <w:sz w:val="36"/>
                              <w:szCs w:val="36"/>
                            </w:rPr>
                          </w:pPr>
                          <w:sdt>
                            <w:sdtPr>
                              <w:rPr>
                                <w:rFonts w:ascii="Times New Roman" w:hAnsi="Times New Roman" w:cs="Times New Roman"/>
                                <w:b/>
                                <w:bCs/>
                                <w:i/>
                                <w:iCs/>
                                <w:color w:val="4F81BD" w:themeColor="accent1"/>
                                <w:sz w:val="36"/>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F535E9">
                                <w:rPr>
                                  <w:rFonts w:ascii="Times New Roman" w:hAnsi="Times New Roman" w:cs="Times New Roman"/>
                                  <w:b/>
                                  <w:bCs/>
                                  <w:i/>
                                  <w:iCs/>
                                  <w:color w:val="4F81BD" w:themeColor="accent1"/>
                                  <w:sz w:val="36"/>
                                  <w:szCs w:val="36"/>
                                </w:rPr>
                                <w:t>Primer</w:t>
                              </w:r>
                              <w:r w:rsidR="000A5B5B">
                                <w:rPr>
                                  <w:rFonts w:ascii="Times New Roman" w:hAnsi="Times New Roman" w:cs="Times New Roman"/>
                                  <w:b/>
                                  <w:bCs/>
                                  <w:i/>
                                  <w:iCs/>
                                  <w:color w:val="4F81BD" w:themeColor="accent1"/>
                                  <w:sz w:val="36"/>
                                  <w:szCs w:val="36"/>
                                </w:rPr>
                                <w:t xml:space="preserve"> Trimestre</w:t>
                              </w:r>
                            </w:sdtContent>
                          </w:sdt>
                          <w:r w:rsidR="000A5B5B" w:rsidRPr="00BF230D">
                            <w:rPr>
                              <w:rFonts w:ascii="Times New Roman" w:hAnsi="Times New Roman" w:cs="Times New Roman"/>
                              <w:b/>
                              <w:bCs/>
                              <w:i/>
                              <w:iCs/>
                              <w:color w:val="4F81BD" w:themeColor="accent1"/>
                              <w:sz w:val="36"/>
                              <w:szCs w:val="36"/>
                            </w:rPr>
                            <w:t xml:space="preserve"> 202</w:t>
                          </w:r>
                          <w:r w:rsidR="00F535E9">
                            <w:rPr>
                              <w:rFonts w:ascii="Times New Roman" w:hAnsi="Times New Roman" w:cs="Times New Roman"/>
                              <w:b/>
                              <w:bCs/>
                              <w:i/>
                              <w:iCs/>
                              <w:color w:val="4F81BD" w:themeColor="accent1"/>
                              <w:sz w:val="36"/>
                              <w:szCs w:val="36"/>
                            </w:rPr>
                            <w:t>2</w:t>
                          </w:r>
                          <w:r w:rsidR="000A5B5B" w:rsidRPr="00BF230D">
                            <w:rPr>
                              <w:rFonts w:ascii="Times New Roman" w:hAnsi="Times New Roman" w:cs="Times New Roman"/>
                              <w:b/>
                              <w:bCs/>
                              <w:i/>
                              <w:iCs/>
                              <w:lang w:val="es-ES"/>
                            </w:rPr>
                            <w:t xml:space="preserve"> </w:t>
                          </w:r>
                        </w:p>
                        <w:p w14:paraId="39A113FF" w14:textId="77777777" w:rsidR="000A5B5B" w:rsidRDefault="000A5B5B"/>
                      </w:txbxContent>
                    </v:textbox>
                    <w10:wrap anchorx="page" anchory="margin"/>
                  </v:shape>
                </w:pict>
              </mc:Fallback>
            </mc:AlternateContent>
          </w:r>
        </w:p>
        <w:p w14:paraId="7388F779" w14:textId="77777777" w:rsidR="00DB22E2" w:rsidRPr="00DB556E" w:rsidRDefault="00DB22E2" w:rsidP="00CD34D6">
          <w:pPr>
            <w:rPr>
              <w:rFonts w:cs="Times New Roman"/>
            </w:rPr>
          </w:pPr>
          <w:r w:rsidRPr="00DB556E">
            <w:rPr>
              <w:rFonts w:cs="Times New Roman"/>
              <w:noProof/>
              <w:color w:val="4F81BD" w:themeColor="accent1"/>
              <w:sz w:val="36"/>
              <w:szCs w:val="36"/>
              <w:lang w:eastAsia="es-GT"/>
            </w:rPr>
            <mc:AlternateContent>
              <mc:Choice Requires="wpg">
                <w:drawing>
                  <wp:anchor distT="0" distB="0" distL="114300" distR="114300" simplePos="0" relativeHeight="251658241" behindDoc="1" locked="0" layoutInCell="1" allowOverlap="1" wp14:anchorId="05D5122E" wp14:editId="5A272F86">
                    <wp:simplePos x="0" y="0"/>
                    <mc:AlternateContent>
                      <mc:Choice Requires="wp14">
                        <wp:positionH relativeFrom="page">
                          <wp14:pctPosHOffset>22000</wp14:pctPosHOffset>
                        </wp:positionH>
                      </mc:Choice>
                      <mc:Fallback>
                        <wp:positionH relativeFrom="page">
                          <wp:posOffset>1709420</wp:posOffset>
                        </wp:positionH>
                      </mc:Fallback>
                    </mc:AlternateContent>
                    <mc:AlternateContent>
                      <mc:Choice Requires="wp14">
                        <wp:positionV relativeFrom="page">
                          <wp14:pctPosVOffset>30000</wp14:pctPosVOffset>
                        </wp:positionV>
                      </mc:Choice>
                      <mc:Fallback>
                        <wp:positionV relativeFrom="page">
                          <wp:posOffset>3017520</wp:posOffset>
                        </wp:positionV>
                      </mc:Fallback>
                    </mc:AlternateContent>
                    <wp:extent cx="5494369" cy="5696712"/>
                    <wp:effectExtent l="0" t="0" r="0" b="3175"/>
                    <wp:wrapNone/>
                    <wp:docPr id="63" name="Grupo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orma libre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orma libre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orma libre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orma libre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orma libre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2847EF0" id="Grupo 2" o:spid="_x0000_s1026" style="position:absolute;margin-left:0;margin-top:0;width:432.65pt;height:448.55pt;z-index:-251658239;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WrPAYAABAhAAAOAAAAZHJzL2Uyb0RvYy54bWzsml2Pm0YUhu8r9T+MuKzUmC+DseKNqk0T&#10;VUrTSNmq1yzGHyowFPDaya/ve84wMLbBu8pupUZyLtbAvD5z5pwzz4yHvH5zyDPxkFb1VhYLy3ll&#10;WyItErncFuuF9efdu59nlqibuFjGmSzShfUlra03Nz/+8HpfzlNXbmS2TCsBI0U935cLa9M05Xwy&#10;qZNNmsf1K1mmBRpXssrjBrfVerKs4j2s59nEte1gspfVsqxkktY1nr5VjdYN21+t0qT5Y7Wq00Zk&#10;Cwu+Nfy34r/39Hdy8zqer6u43GyT1o34G7zI422BTjtTb+MmFrtqe2Yq3yaVrOWqeZXIfCJXq22S&#10;8hgwGsc+Gc37Su5KHst6vl+XXZgQ2pM4fbPZ5OPD+6r8XH6qlPe4/CCTv2tRyNtNXKzTX+oSQURq&#10;KVSTfbmem1+h+3X//cOqyskOxiUOHOQvXZDTQyMSPJz6ke8FkSUStE2DKAgdV6Uh2SBXZ99LNr+2&#10;3/Q9N3IcT33T9yPH9mbsVTzXHdcy2y7fbbOMvOAiSm+zSjzESH9zcDlF2S7/XS7Vs8DGP9U7HlP3&#10;LPX144lhBcPHXd8BB6Mb/L5EAdd9jurn5ejzJi5TTn1NAf9Uie1yYQW+JYo4xzx6RzNCZNv7KhV4&#10;ityQA1DqVNYqjyppRgvJaqRb3O8RBViKd43kuOgYtslzprYThlNLnKfQnbmhh9hzCt2ZN3Who576&#10;RCS7unmfSq6G+OFD3aAZs2OJK3XRjuMOk3KVZ5hzP02EL/bCCWdcaiTWGsfQoD0QG5IFKm+9zDVk&#10;9ogpVE/XHWy4I6YQZ0MWBiPWEJ1OZo+YCgwNDW7EVGjIpiOmEPGuu7FYYWJ1mpNYIT1dAuKNzkly&#10;KNqk4EpgytOMpRyVsqbJSBlCCdwpAMRzqKh1RIwckNhry+GyGFEmsa6dy2LEkcThkywjUiSOTDGG&#10;jx7asVaA2umaUFkCa8K9KqsybihEHAhcij0QSKUpNnwRcIhy+ZDeSdY0FCs1IAp723EvyApTqGIK&#10;IaMPnulm/VmyPUxANWxm1AUZOYYB60hqK/pTWTvzTjcnmaxTNX9p2DyRu/FT2IzJDOARX3k6Z1wJ&#10;hWwfsH+8SCjEKCbdy+UX4AZ7BKwiG1l9tcQe6+3Cqv/ZxVVqiey3ArCMHN+nBZpv/Gno4qYyW+7N&#10;lmKX30owHcOOiwRWgXd9eduo9R0LLAbxofhcJiTkLFV1c3f4K65KUeISX8Kq9FFq2MZzjSoMhQRK&#10;2w5JDaS9AerV8P575gMyA8znVL8081GPgQcSoZRcN7Sx1nKe9dLtTf3ApyWBlm59o+pGLx5mqehg&#10;GtjpYY30dpyagomu6/EyNsZ9agcWh2Sn3B/SmNx3XTcaMYUp0nnFsmHHTrk/1KPJfXZ+2NQp94dM&#10;mdwfi5XJfe6ujxWK+cr9Z3CfU0Lc5wviSI91RVbUA08ZVcKIdy/QjFVCxX2qrHaB0M36U8lYQCYv&#10;c185Btll7p95pzu7cl9tsv+f3AdABrjPO4uX5v7Md7x2q+/Y0VT9rIrnHff9WRjq/b7X3rwA9yPi&#10;vhPxlm6U+2gnWA/Izrg/oDnivhN5I6aOuO/MZiOOnXF/oMcj7pPzw2M0ue/Qb4ehEZrgHwvWEfip&#10;v97UFfzP2/BzShj8lOch8CP4BP62DB4HPyrwMvhRe2zyEfBTh9Szc1l35t6V/N/Djh+5HSA/Y/Kl&#10;ye+4TmC7aofgRzPa3R9v+XHgZlNN8pYfahK/EPqdKLh81BMFfNSDD+VU/+vhFP1Dpkz0O9GUwAjZ&#10;mSkT/ZC54PWQtVP0D5ky0U82RkyZ6KcfIkOmTsk/5JJJfrJhmLqS/3nk53DzUQ9VzDj5deoeJT8V&#10;4EXyU+k9gfzKMZD/8g8IBX7Duyv4vwfwY9YPgJ9fcrw0+NUvUWfqRaD7EfKPX7N4XmhP9S7jWac8&#10;dCTvhu7l3X7o0ZE8Xi+074TGkT9kykQ+2mcjpkzkQ0bIH7J2ivwhr0zkk40RUyby6XR/yJSJ/LFY&#10;mcgnG4apK/Kfh3yuAN7sU/ENIb89vGlr81Hkw6B+Panpqz/bUx6U3hOQrxx79JTnzDvd2fWU59tO&#10;efj9Ll678+uQ9r8I0Ht9857fBvT/keHmXwAAAP//AwBQSwMEFAAGAAgAAAAhAAog1ILaAAAABQEA&#10;AA8AAABkcnMvZG93bnJldi54bWxMj0FPwzAMhe9I/IfISNxY2iHKVppOA2l3WJHg6DVeU9o4VZN1&#10;5d8TuLCL9axnvfe52My2FxONvnWsIF0kIIhrp1tuFLxXu7sVCB+QNfaOScE3ediU11cF5tqd+Y2m&#10;fWhEDGGfowITwpBL6WtDFv3CDcTRO7rRYojr2Eg94jmG214ukySTFluODQYHejFUd/uTVdDh9GX6&#10;7KNLt7vla/1squpzqpS6vZm3TyACzeH/GH7xIzqUkengTqy96BXER8LfjN4qe7gHcYhi/ZiCLAt5&#10;SV/+AAAA//8DAFBLAQItABQABgAIAAAAIQC2gziS/gAAAOEBAAATAAAAAAAAAAAAAAAAAAAAAABb&#10;Q29udGVudF9UeXBlc10ueG1sUEsBAi0AFAAGAAgAAAAhADj9If/WAAAAlAEAAAsAAAAAAAAAAAAA&#10;AAAALwEAAF9yZWxzLy5yZWxzUEsBAi0AFAAGAAgAAAAhAEclJas8BgAAECEAAA4AAAAAAAAAAAAA&#10;AAAALgIAAGRycy9lMm9Eb2MueG1sUEsBAi0AFAAGAAgAAAAhAAog1ILaAAAABQEAAA8AAAAAAAAA&#10;AAAAAAAAlggAAGRycy9kb3ducmV2LnhtbFBLBQYAAAAABAAEAPMAAACdCQAAAAA=&#10;">
                    <o:lock v:ext="edit" aspectratio="t"/>
                    <v:shape id="Forma libre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orma libre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sidRPr="00DB556E">
            <w:rPr>
              <w:rFonts w:cs="Times New Roman"/>
              <w:noProof/>
              <w:lang w:eastAsia="es-GT"/>
            </w:rPr>
            <mc:AlternateContent>
              <mc:Choice Requires="wps">
                <w:drawing>
                  <wp:anchor distT="0" distB="0" distL="114300" distR="114300" simplePos="0" relativeHeight="251658240" behindDoc="0" locked="0" layoutInCell="1" allowOverlap="1" wp14:anchorId="2C570617" wp14:editId="2191751A">
                    <wp:simplePos x="0" y="0"/>
                    <wp:positionH relativeFrom="page">
                      <wp:align>center</wp:align>
                    </wp:positionH>
                    <wp:positionV relativeFrom="margin">
                      <wp:align>bottom</wp:align>
                    </wp:positionV>
                    <wp:extent cx="5943600" cy="374904"/>
                    <wp:effectExtent l="0" t="0" r="0" b="2540"/>
                    <wp:wrapNone/>
                    <wp:docPr id="69" name="Cuadro de texto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20B9" w14:textId="77777777" w:rsidR="000A5B5B" w:rsidRPr="00BF230D" w:rsidRDefault="006F0A2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C570617" id="Cuadro de texto 69" o:spid="_x0000_s1027" type="#_x0000_t202" style="position:absolute;left:0;text-align:left;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GiYQIAADQFAAAOAAAAZHJzL2Uyb0RvYy54bWysVEtv2zAMvg/YfxB0X+z0ka1BnSJLkWFA&#10;0RZrh54VWUqMyaJGKbGzXz9KtpOg26XDLjItfnx/1PVNWxu2U+grsAUfj3LOlJVQVnZd8O/Pyw+f&#10;OPNB2FIYsKrge+X5zez9u+vGTdUZbMCUChk5sX7auIJvQnDTLPNyo2rhR+CUJaUGrEWgX1xnJYqG&#10;vNcmO8vzSdYAlg5BKu/p9rZT8lnyr7WS4UFrrwIzBafcQjoxnat4ZrNrMV2jcJtK9mmIf8iiFpWl&#10;oAdXtyIItsXqD1d1JRE86DCSUGegdSVVqoGqGeevqnnaCKdSLdQc7w5t8v/PrbzfPblHZKH9DC0N&#10;MDakcX7q6TLW02qs45cyZaSnFu4PbVNtYJIuL68uzic5qSTpzj9eXOUX0U12tHbowxcFNYtCwZHG&#10;kroldnc+dNABEoNZWFbGpNEYy5qCT84v82Rw0JBzYyNWpSH3bo6ZJynsjYoYY78pzaoyFRAvEr3U&#10;wiDbCSKGkFLZkGpPfgkdUZqSeIthjz9m9Rbjro4hMthwMK4rC5iqf5V2+WNIWXd46vlJ3VEM7aql&#10;wk8Gu4JyT/NG6FbBO7msaCh3wodHgcR9miPtc3igQxug5kMvcbYB/PW3+4gnSpKWs4Z2qeD+51ag&#10;4sx8tUTWuHiDgIOwGgS7rRdAUxjTS+FkEskAgxlEjVC/0JrPYxRSCSspVsFXg7gI3UbTMyHVfJ5A&#10;tF5OhDv75GR0HYcSKfbcvgh0PQ8DMfgehi0T01d07LCJL26+DUTKxNXY166Lfb9pNRPb+2ck7v7p&#10;f0IdH7vZbwAAAP//AwBQSwMEFAAGAAgAAAAhADHDoo3aAAAABAEAAA8AAABkcnMvZG93bnJldi54&#10;bWxMj91qwkAQhe8LvsMyhd7VTf9EYzYiUqGlFK31ASbZMQlmZ0N21fTtO+1NezNwOMM538kWg2vV&#10;mfrQeDZwN05AEZfeNlwZ2H+ub6egQkS22HomA18UYJGPrjJMrb/wB513sVISwiFFA3WMXap1KGty&#10;GMa+Ixbv4HuHUWRfadvjRcJdq++TZKIdNiwNNXa0qqk87k5OSsLxEPFx/f6mV8VLwc/b1+mmMubm&#10;eljOQUUa4t8z/OALOuTCVPgT26BaAzIk/l7xZg8TkYWBp1kCOs/0f/j8GwAA//8DAFBLAQItABQA&#10;BgAIAAAAIQC2gziS/gAAAOEBAAATAAAAAAAAAAAAAAAAAAAAAABbQ29udGVudF9UeXBlc10ueG1s&#10;UEsBAi0AFAAGAAgAAAAhADj9If/WAAAAlAEAAAsAAAAAAAAAAAAAAAAALwEAAF9yZWxzLy5yZWxz&#10;UEsBAi0AFAAGAAgAAAAhABijoaJhAgAANAUAAA4AAAAAAAAAAAAAAAAALgIAAGRycy9lMm9Eb2Mu&#10;eG1sUEsBAi0AFAAGAAgAAAAhADHDoo3aAAAABAEAAA8AAAAAAAAAAAAAAAAAuwQAAGRycy9kb3du&#10;cmV2LnhtbFBLBQYAAAAABAAEAPMAAADCBQAAAAA=&#10;" filled="f" stroked="f" strokeweight=".5pt">
                    <v:textbox style="mso-fit-shape-to-text:t" inset="0,0,0,0">
                      <w:txbxContent>
                        <w:p w14:paraId="4AC520B9" w14:textId="77777777" w:rsidR="000A5B5B" w:rsidRPr="00BF230D" w:rsidRDefault="006F0A20">
                          <w:pPr>
                            <w:pStyle w:val="Sinespaciado"/>
                            <w:jc w:val="right"/>
                            <w:rPr>
                              <w:rFonts w:ascii="Times New Roman" w:hAnsi="Times New Roman" w:cs="Times New Roman"/>
                              <w:color w:val="4F81BD" w:themeColor="accent1"/>
                              <w:sz w:val="36"/>
                              <w:szCs w:val="36"/>
                            </w:rPr>
                          </w:pPr>
                          <w:sdt>
                            <w:sdtPr>
                              <w:rPr>
                                <w:rFonts w:ascii="Times New Roman" w:hAnsi="Times New Roman" w:cs="Times New Roman"/>
                                <w:color w:val="4F81BD" w:themeColor="accent1"/>
                                <w:sz w:val="36"/>
                                <w:szCs w:val="36"/>
                              </w:rPr>
                              <w:alias w:val="Escolar"/>
                              <w:tag w:val="Escolar"/>
                              <w:id w:val="1850680582"/>
                              <w:dataBinding w:prefixMappings="xmlns:ns0='http://schemas.openxmlformats.org/officeDocument/2006/extended-properties' " w:xpath="/ns0:Properties[1]/ns0:Company[1]" w:storeItemID="{6668398D-A668-4E3E-A5EB-62B293D839F1}"/>
                              <w:text/>
                            </w:sdtPr>
                            <w:sdtEndPr/>
                            <w:sdtContent>
                              <w:r w:rsidR="000A5B5B" w:rsidRPr="00BF230D">
                                <w:rPr>
                                  <w:rFonts w:ascii="Times New Roman" w:hAnsi="Times New Roman" w:cs="Times New Roman"/>
                                  <w:color w:val="4F81BD" w:themeColor="accent1"/>
                                  <w:sz w:val="36"/>
                                  <w:szCs w:val="36"/>
                                </w:rPr>
                                <w:t>Dirección de Análisis y Política Fiscal</w:t>
                              </w:r>
                            </w:sdtContent>
                          </w:sdt>
                        </w:p>
                        <w:sdt>
                          <w:sdtPr>
                            <w:rPr>
                              <w:rFonts w:ascii="Times New Roman" w:hAnsi="Times New Roman" w:cs="Times New Roman"/>
                              <w:color w:val="4F81BD" w:themeColor="accent1"/>
                              <w:sz w:val="36"/>
                              <w:szCs w:val="36"/>
                            </w:rPr>
                            <w:alias w:val="Curso"/>
                            <w:tag w:val="Curso"/>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07854316" w14:textId="77777777" w:rsidR="000A5B5B" w:rsidRPr="00BF230D" w:rsidRDefault="000A5B5B">
                              <w:pPr>
                                <w:pStyle w:val="Sinespaciado"/>
                                <w:jc w:val="right"/>
                                <w:rPr>
                                  <w:rFonts w:ascii="Times New Roman" w:hAnsi="Times New Roman" w:cs="Times New Roman"/>
                                  <w:color w:val="4F81BD" w:themeColor="accent1"/>
                                  <w:sz w:val="36"/>
                                  <w:szCs w:val="36"/>
                                </w:rPr>
                              </w:pPr>
                              <w:r w:rsidRPr="00BF230D">
                                <w:rPr>
                                  <w:rFonts w:ascii="Times New Roman" w:hAnsi="Times New Roman" w:cs="Times New Roman"/>
                                  <w:color w:val="4F81BD" w:themeColor="accent1"/>
                                  <w:sz w:val="36"/>
                                  <w:szCs w:val="36"/>
                                </w:rPr>
                                <w:t>Ministerio de Finanzas Públicas</w:t>
                              </w:r>
                            </w:p>
                          </w:sdtContent>
                        </w:sdt>
                      </w:txbxContent>
                    </v:textbox>
                    <w10:wrap anchorx="page" anchory="margin"/>
                  </v:shape>
                </w:pict>
              </mc:Fallback>
            </mc:AlternateContent>
          </w:r>
        </w:p>
        <w:p w14:paraId="1E6B495C" w14:textId="77777777" w:rsidR="00DB22E2" w:rsidRPr="00DB556E" w:rsidRDefault="009A1471" w:rsidP="00CD34D6">
          <w:pPr>
            <w:spacing w:after="200" w:line="276" w:lineRule="auto"/>
            <w:rPr>
              <w:rFonts w:eastAsiaTheme="majorEastAsia" w:cs="Times New Roman"/>
              <w:b/>
              <w:bCs/>
              <w:color w:val="FF0000"/>
              <w:szCs w:val="26"/>
            </w:rPr>
          </w:pPr>
          <w:r w:rsidRPr="00DB556E">
            <w:rPr>
              <w:rFonts w:eastAsiaTheme="majorEastAsia" w:cs="Times New Roman"/>
              <w:b/>
              <w:bCs/>
              <w:noProof/>
              <w:color w:val="FF0000"/>
              <w:szCs w:val="26"/>
              <w:lang w:eastAsia="es-GT"/>
            </w:rPr>
            <w:drawing>
              <wp:anchor distT="0" distB="0" distL="114300" distR="114300" simplePos="0" relativeHeight="251658243" behindDoc="1" locked="0" layoutInCell="1" allowOverlap="1" wp14:anchorId="405DD89E" wp14:editId="26DDC1D9">
                <wp:simplePos x="0" y="0"/>
                <wp:positionH relativeFrom="margin">
                  <wp:posOffset>1464799</wp:posOffset>
                </wp:positionH>
                <wp:positionV relativeFrom="paragraph">
                  <wp:posOffset>2640917</wp:posOffset>
                </wp:positionV>
                <wp:extent cx="2736653" cy="1242647"/>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6653" cy="1242647"/>
                        </a:xfrm>
                        <a:prstGeom prst="rect">
                          <a:avLst/>
                        </a:prstGeom>
                        <a:noFill/>
                      </pic:spPr>
                    </pic:pic>
                  </a:graphicData>
                </a:graphic>
                <wp14:sizeRelH relativeFrom="margin">
                  <wp14:pctWidth>0</wp14:pctWidth>
                </wp14:sizeRelH>
                <wp14:sizeRelV relativeFrom="margin">
                  <wp14:pctHeight>0</wp14:pctHeight>
                </wp14:sizeRelV>
              </wp:anchor>
            </w:drawing>
          </w:r>
          <w:r w:rsidR="00DB22E2" w:rsidRPr="00DB556E">
            <w:rPr>
              <w:rFonts w:eastAsiaTheme="majorEastAsia" w:cs="Times New Roman"/>
              <w:b/>
              <w:bCs/>
              <w:color w:val="FF0000"/>
              <w:szCs w:val="26"/>
            </w:rPr>
            <w:br w:type="page"/>
          </w:r>
        </w:p>
      </w:sdtContent>
    </w:sdt>
    <w:sdt>
      <w:sdtPr>
        <w:rPr>
          <w:rFonts w:ascii="Times New Roman" w:eastAsiaTheme="minorEastAsia" w:hAnsi="Times New Roman" w:cs="Times New Roman"/>
          <w:b w:val="0"/>
          <w:bCs w:val="0"/>
          <w:color w:val="FF0000"/>
          <w:sz w:val="24"/>
          <w:szCs w:val="24"/>
          <w:lang w:val="es-ES" w:eastAsia="es-ES"/>
        </w:rPr>
        <w:id w:val="-1412613934"/>
        <w:docPartObj>
          <w:docPartGallery w:val="Table of Contents"/>
          <w:docPartUnique/>
        </w:docPartObj>
      </w:sdtPr>
      <w:sdtEndPr>
        <w:rPr>
          <w:sz w:val="22"/>
        </w:rPr>
      </w:sdtEndPr>
      <w:sdtContent>
        <w:p w14:paraId="14EA01E7" w14:textId="77777777" w:rsidR="0032588B" w:rsidRPr="00DB556E" w:rsidRDefault="0032588B" w:rsidP="000D58D6">
          <w:pPr>
            <w:pStyle w:val="TtuloTDC"/>
            <w:jc w:val="center"/>
            <w:rPr>
              <w:rFonts w:ascii="Times New Roman" w:hAnsi="Times New Roman" w:cs="Times New Roman"/>
              <w:color w:val="auto"/>
              <w:sz w:val="24"/>
              <w:szCs w:val="24"/>
              <w:lang w:val="es-ES"/>
            </w:rPr>
          </w:pPr>
          <w:r w:rsidRPr="00DB556E">
            <w:rPr>
              <w:rFonts w:ascii="Times New Roman" w:hAnsi="Times New Roman" w:cs="Times New Roman"/>
              <w:color w:val="auto"/>
              <w:sz w:val="24"/>
              <w:szCs w:val="24"/>
              <w:lang w:val="es-ES"/>
            </w:rPr>
            <w:t>Contenido</w:t>
          </w:r>
        </w:p>
        <w:p w14:paraId="7057A639" w14:textId="77777777" w:rsidR="00F3006C" w:rsidRPr="00DB556E" w:rsidRDefault="00F3006C" w:rsidP="00CD34D6">
          <w:pPr>
            <w:spacing w:line="276" w:lineRule="auto"/>
            <w:rPr>
              <w:rFonts w:cs="Times New Roman"/>
              <w:color w:val="FF0000"/>
              <w:lang w:val="es-ES" w:eastAsia="es-GT"/>
            </w:rPr>
          </w:pPr>
        </w:p>
        <w:p w14:paraId="67DB206D" w14:textId="4BF2E6FE" w:rsidR="00DB556E" w:rsidRPr="00DB556E" w:rsidRDefault="0032588B">
          <w:pPr>
            <w:pStyle w:val="TDC1"/>
            <w:rPr>
              <w:rFonts w:asciiTheme="minorHAnsi" w:eastAsiaTheme="minorEastAsia" w:hAnsiTheme="minorHAnsi" w:cstheme="minorBidi"/>
              <w:b w:val="0"/>
              <w:bCs w:val="0"/>
              <w:szCs w:val="22"/>
              <w:lang w:eastAsia="es-GT"/>
            </w:rPr>
          </w:pPr>
          <w:r w:rsidRPr="00DB556E">
            <w:rPr>
              <w:color w:val="FF0000"/>
              <w:lang w:val="es-ES_tradnl"/>
            </w:rPr>
            <w:fldChar w:fldCharType="begin"/>
          </w:r>
          <w:r w:rsidRPr="00DB556E">
            <w:rPr>
              <w:color w:val="FF0000"/>
            </w:rPr>
            <w:instrText xml:space="preserve"> TOC \o "1-3" \h \z \u </w:instrText>
          </w:r>
          <w:r w:rsidRPr="00DB556E">
            <w:rPr>
              <w:color w:val="FF0000"/>
              <w:lang w:val="es-ES_tradnl"/>
            </w:rPr>
            <w:fldChar w:fldCharType="separate"/>
          </w:r>
          <w:hyperlink w:anchor="_Toc102477783" w:history="1">
            <w:r w:rsidR="00DB556E" w:rsidRPr="00DB556E">
              <w:rPr>
                <w:rStyle w:val="Hipervnculo"/>
                <w:lang w:val="es-ES_tradnl"/>
              </w:rPr>
              <w:t>Introducción</w:t>
            </w:r>
            <w:r w:rsidR="00DB556E" w:rsidRPr="00DB556E">
              <w:rPr>
                <w:webHidden/>
              </w:rPr>
              <w:tab/>
            </w:r>
            <w:r w:rsidR="00DB556E" w:rsidRPr="00DB556E">
              <w:rPr>
                <w:webHidden/>
              </w:rPr>
              <w:fldChar w:fldCharType="begin"/>
            </w:r>
            <w:r w:rsidR="00DB556E" w:rsidRPr="00DB556E">
              <w:rPr>
                <w:webHidden/>
              </w:rPr>
              <w:instrText xml:space="preserve"> PAGEREF _Toc102477783 \h </w:instrText>
            </w:r>
            <w:r w:rsidR="00DB556E" w:rsidRPr="00DB556E">
              <w:rPr>
                <w:webHidden/>
              </w:rPr>
            </w:r>
            <w:r w:rsidR="00DB556E" w:rsidRPr="00DB556E">
              <w:rPr>
                <w:webHidden/>
              </w:rPr>
              <w:fldChar w:fldCharType="separate"/>
            </w:r>
            <w:r w:rsidR="0015220B">
              <w:rPr>
                <w:webHidden/>
              </w:rPr>
              <w:t>2</w:t>
            </w:r>
            <w:r w:rsidR="00DB556E" w:rsidRPr="00DB556E">
              <w:rPr>
                <w:webHidden/>
              </w:rPr>
              <w:fldChar w:fldCharType="end"/>
            </w:r>
          </w:hyperlink>
        </w:p>
        <w:p w14:paraId="5C77D3A2" w14:textId="59CFF15A" w:rsidR="00DB556E" w:rsidRPr="00DB556E" w:rsidRDefault="006F0A20">
          <w:pPr>
            <w:pStyle w:val="TDC1"/>
            <w:rPr>
              <w:rFonts w:asciiTheme="minorHAnsi" w:eastAsiaTheme="minorEastAsia" w:hAnsiTheme="minorHAnsi" w:cstheme="minorBidi"/>
              <w:b w:val="0"/>
              <w:bCs w:val="0"/>
              <w:szCs w:val="22"/>
              <w:lang w:eastAsia="es-GT"/>
            </w:rPr>
          </w:pPr>
          <w:hyperlink w:anchor="_Toc102477784" w:history="1">
            <w:r w:rsidR="00DB556E" w:rsidRPr="00DB556E">
              <w:rPr>
                <w:rStyle w:val="Hipervnculo"/>
                <w:lang w:val="es-ES_tradnl"/>
              </w:rPr>
              <w:t>I.</w:t>
            </w:r>
            <w:r w:rsidR="00DB556E" w:rsidRPr="00DB556E">
              <w:rPr>
                <w:rFonts w:asciiTheme="minorHAnsi" w:eastAsiaTheme="minorEastAsia" w:hAnsiTheme="minorHAnsi" w:cstheme="minorBidi"/>
                <w:b w:val="0"/>
                <w:bCs w:val="0"/>
                <w:szCs w:val="22"/>
                <w:lang w:eastAsia="es-GT"/>
              </w:rPr>
              <w:tab/>
            </w:r>
            <w:r w:rsidR="00DB556E" w:rsidRPr="00DB556E">
              <w:rPr>
                <w:rStyle w:val="Hipervnculo"/>
                <w:lang w:val="es-ES_tradnl"/>
              </w:rPr>
              <w:t>Ingresos del Gobierno Central Presupuestario</w:t>
            </w:r>
            <w:r w:rsidR="00DB556E" w:rsidRPr="00DB556E">
              <w:rPr>
                <w:webHidden/>
              </w:rPr>
              <w:tab/>
            </w:r>
            <w:r w:rsidR="00DB556E" w:rsidRPr="00DB556E">
              <w:rPr>
                <w:webHidden/>
              </w:rPr>
              <w:fldChar w:fldCharType="begin"/>
            </w:r>
            <w:r w:rsidR="00DB556E" w:rsidRPr="00DB556E">
              <w:rPr>
                <w:webHidden/>
              </w:rPr>
              <w:instrText xml:space="preserve"> PAGEREF _Toc102477784 \h </w:instrText>
            </w:r>
            <w:r w:rsidR="00DB556E" w:rsidRPr="00DB556E">
              <w:rPr>
                <w:webHidden/>
              </w:rPr>
            </w:r>
            <w:r w:rsidR="00DB556E" w:rsidRPr="00DB556E">
              <w:rPr>
                <w:webHidden/>
              </w:rPr>
              <w:fldChar w:fldCharType="separate"/>
            </w:r>
            <w:r w:rsidR="0015220B">
              <w:rPr>
                <w:webHidden/>
              </w:rPr>
              <w:t>2</w:t>
            </w:r>
            <w:r w:rsidR="00DB556E" w:rsidRPr="00DB556E">
              <w:rPr>
                <w:webHidden/>
              </w:rPr>
              <w:fldChar w:fldCharType="end"/>
            </w:r>
          </w:hyperlink>
        </w:p>
        <w:p w14:paraId="7BFEC61D" w14:textId="383147B4" w:rsidR="00DB556E" w:rsidRPr="00DB556E" w:rsidRDefault="006F0A20">
          <w:pPr>
            <w:pStyle w:val="TDC2"/>
            <w:rPr>
              <w:rFonts w:asciiTheme="minorHAnsi" w:hAnsiTheme="minorHAnsi"/>
              <w:noProof/>
              <w:szCs w:val="22"/>
              <w:lang w:eastAsia="es-GT"/>
            </w:rPr>
          </w:pPr>
          <w:hyperlink w:anchor="_Toc102477785" w:history="1">
            <w:r w:rsidR="00DB556E" w:rsidRPr="00DB556E">
              <w:rPr>
                <w:rStyle w:val="Hipervnculo"/>
                <w:rFonts w:cs="Times New Roman"/>
                <w:noProof/>
              </w:rPr>
              <w:t>1.1</w:t>
            </w:r>
            <w:r w:rsidR="00DB556E" w:rsidRPr="00DB556E">
              <w:rPr>
                <w:rFonts w:asciiTheme="minorHAnsi" w:hAnsiTheme="minorHAnsi"/>
                <w:noProof/>
                <w:szCs w:val="22"/>
                <w:lang w:eastAsia="es-GT"/>
              </w:rPr>
              <w:tab/>
            </w:r>
            <w:r w:rsidR="00DB556E" w:rsidRPr="00DB556E">
              <w:rPr>
                <w:rStyle w:val="Hipervnculo"/>
                <w:rFonts w:cs="Times New Roman"/>
                <w:noProof/>
              </w:rPr>
              <w:t>Los ingresos totales continúan con su buen dinamismo</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_Toc102477785 \h </w:instrText>
            </w:r>
            <w:r w:rsidR="00DB556E" w:rsidRPr="00DB556E">
              <w:rPr>
                <w:noProof/>
                <w:webHidden/>
              </w:rPr>
            </w:r>
            <w:r w:rsidR="00DB556E" w:rsidRPr="00DB556E">
              <w:rPr>
                <w:noProof/>
                <w:webHidden/>
              </w:rPr>
              <w:fldChar w:fldCharType="separate"/>
            </w:r>
            <w:r w:rsidR="0015220B">
              <w:rPr>
                <w:noProof/>
                <w:webHidden/>
              </w:rPr>
              <w:t>2</w:t>
            </w:r>
            <w:r w:rsidR="00DB556E" w:rsidRPr="00DB556E">
              <w:rPr>
                <w:noProof/>
                <w:webHidden/>
              </w:rPr>
              <w:fldChar w:fldCharType="end"/>
            </w:r>
          </w:hyperlink>
        </w:p>
        <w:p w14:paraId="780345AF" w14:textId="5BD86525" w:rsidR="00DB556E" w:rsidRPr="00DB556E" w:rsidRDefault="006F0A20">
          <w:pPr>
            <w:pStyle w:val="TDC2"/>
            <w:rPr>
              <w:rFonts w:asciiTheme="minorHAnsi" w:hAnsiTheme="minorHAnsi"/>
              <w:noProof/>
              <w:szCs w:val="22"/>
              <w:lang w:eastAsia="es-GT"/>
            </w:rPr>
          </w:pPr>
          <w:hyperlink w:anchor="_Toc102477786" w:history="1">
            <w:r w:rsidR="00DB556E" w:rsidRPr="00DB556E">
              <w:rPr>
                <w:rStyle w:val="Hipervnculo"/>
                <w:rFonts w:cs="Times New Roman"/>
                <w:noProof/>
              </w:rPr>
              <w:t>1.2</w:t>
            </w:r>
            <w:r w:rsidR="00DB556E" w:rsidRPr="00DB556E">
              <w:rPr>
                <w:rFonts w:asciiTheme="minorHAnsi" w:hAnsiTheme="minorHAnsi"/>
                <w:noProof/>
                <w:szCs w:val="22"/>
                <w:lang w:eastAsia="es-GT"/>
              </w:rPr>
              <w:tab/>
            </w:r>
            <w:r w:rsidR="00DB556E" w:rsidRPr="00DB556E">
              <w:rPr>
                <w:rStyle w:val="Hipervnculo"/>
                <w:rFonts w:cs="Times New Roman"/>
                <w:noProof/>
              </w:rPr>
              <w:t>Los impuestos muestran un buen desempeño</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_Toc102477786 \h </w:instrText>
            </w:r>
            <w:r w:rsidR="00DB556E" w:rsidRPr="00DB556E">
              <w:rPr>
                <w:noProof/>
                <w:webHidden/>
              </w:rPr>
            </w:r>
            <w:r w:rsidR="00DB556E" w:rsidRPr="00DB556E">
              <w:rPr>
                <w:noProof/>
                <w:webHidden/>
              </w:rPr>
              <w:fldChar w:fldCharType="separate"/>
            </w:r>
            <w:r w:rsidR="0015220B">
              <w:rPr>
                <w:noProof/>
                <w:webHidden/>
              </w:rPr>
              <w:t>3</w:t>
            </w:r>
            <w:r w:rsidR="00DB556E" w:rsidRPr="00DB556E">
              <w:rPr>
                <w:noProof/>
                <w:webHidden/>
              </w:rPr>
              <w:fldChar w:fldCharType="end"/>
            </w:r>
          </w:hyperlink>
        </w:p>
        <w:p w14:paraId="30955438" w14:textId="6A5B8A5D" w:rsidR="00DB556E" w:rsidRPr="00DB556E" w:rsidRDefault="006F0A20">
          <w:pPr>
            <w:pStyle w:val="TDC1"/>
            <w:rPr>
              <w:rFonts w:asciiTheme="minorHAnsi" w:eastAsiaTheme="minorEastAsia" w:hAnsiTheme="minorHAnsi" w:cstheme="minorBidi"/>
              <w:b w:val="0"/>
              <w:bCs w:val="0"/>
              <w:szCs w:val="22"/>
              <w:lang w:eastAsia="es-GT"/>
            </w:rPr>
          </w:pPr>
          <w:hyperlink w:anchor="_Toc102477790" w:history="1">
            <w:r w:rsidR="00DB556E" w:rsidRPr="00DB556E">
              <w:rPr>
                <w:rStyle w:val="Hipervnculo"/>
                <w:lang w:val="es-ES_tradnl"/>
              </w:rPr>
              <w:t>II.</w:t>
            </w:r>
            <w:r w:rsidR="00DB556E" w:rsidRPr="00DB556E">
              <w:rPr>
                <w:rFonts w:asciiTheme="minorHAnsi" w:eastAsiaTheme="minorEastAsia" w:hAnsiTheme="minorHAnsi" w:cstheme="minorBidi"/>
                <w:b w:val="0"/>
                <w:bCs w:val="0"/>
                <w:szCs w:val="22"/>
                <w:lang w:eastAsia="es-GT"/>
              </w:rPr>
              <w:tab/>
            </w:r>
            <w:r w:rsidR="00DB556E" w:rsidRPr="00DB556E">
              <w:rPr>
                <w:rStyle w:val="Hipervnculo"/>
                <w:lang w:val="es-ES_tradnl"/>
              </w:rPr>
              <w:t>Gasto Público del Gobierno Central Presupuestario</w:t>
            </w:r>
            <w:r w:rsidR="00DB556E" w:rsidRPr="00DB556E">
              <w:rPr>
                <w:webHidden/>
              </w:rPr>
              <w:tab/>
            </w:r>
            <w:r w:rsidR="00DB556E" w:rsidRPr="00DB556E">
              <w:rPr>
                <w:webHidden/>
              </w:rPr>
              <w:fldChar w:fldCharType="begin"/>
            </w:r>
            <w:r w:rsidR="00DB556E" w:rsidRPr="00DB556E">
              <w:rPr>
                <w:webHidden/>
              </w:rPr>
              <w:instrText xml:space="preserve"> PAGEREF _Toc102477790 \h </w:instrText>
            </w:r>
            <w:r w:rsidR="00DB556E" w:rsidRPr="00DB556E">
              <w:rPr>
                <w:webHidden/>
              </w:rPr>
            </w:r>
            <w:r w:rsidR="00DB556E" w:rsidRPr="00DB556E">
              <w:rPr>
                <w:webHidden/>
              </w:rPr>
              <w:fldChar w:fldCharType="separate"/>
            </w:r>
            <w:r w:rsidR="0015220B">
              <w:rPr>
                <w:webHidden/>
              </w:rPr>
              <w:t>4</w:t>
            </w:r>
            <w:r w:rsidR="00DB556E" w:rsidRPr="00DB556E">
              <w:rPr>
                <w:webHidden/>
              </w:rPr>
              <w:fldChar w:fldCharType="end"/>
            </w:r>
          </w:hyperlink>
        </w:p>
        <w:p w14:paraId="6BCCB5BE" w14:textId="7DB5E56B" w:rsidR="00DB556E" w:rsidRPr="00DB556E" w:rsidRDefault="006F0A20">
          <w:pPr>
            <w:pStyle w:val="TDC2"/>
            <w:rPr>
              <w:rFonts w:asciiTheme="minorHAnsi" w:hAnsiTheme="minorHAnsi"/>
              <w:noProof/>
              <w:szCs w:val="22"/>
              <w:lang w:eastAsia="es-GT"/>
            </w:rPr>
          </w:pPr>
          <w:hyperlink w:anchor="_Toc102477793" w:history="1">
            <w:r w:rsidR="00DB556E" w:rsidRPr="00DB556E">
              <w:rPr>
                <w:rStyle w:val="Hipervnculo"/>
                <w:rFonts w:cs="Times New Roman"/>
                <w:noProof/>
              </w:rPr>
              <w:t>2.1</w:t>
            </w:r>
            <w:r w:rsidR="00DB556E" w:rsidRPr="00DB556E">
              <w:rPr>
                <w:rFonts w:asciiTheme="minorHAnsi" w:hAnsiTheme="minorHAnsi"/>
                <w:noProof/>
                <w:szCs w:val="22"/>
                <w:lang w:eastAsia="es-GT"/>
              </w:rPr>
              <w:tab/>
            </w:r>
            <w:r w:rsidR="00DB556E" w:rsidRPr="00DB556E">
              <w:rPr>
                <w:rStyle w:val="Hipervnculo"/>
                <w:rFonts w:cs="Times New Roman"/>
                <w:noProof/>
              </w:rPr>
              <w:t>El gasto público con alto nivel de ejecución en primer trimestre 2022</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_Toc102477793 \h </w:instrText>
            </w:r>
            <w:r w:rsidR="00DB556E" w:rsidRPr="00DB556E">
              <w:rPr>
                <w:noProof/>
                <w:webHidden/>
              </w:rPr>
            </w:r>
            <w:r w:rsidR="00DB556E" w:rsidRPr="00DB556E">
              <w:rPr>
                <w:noProof/>
                <w:webHidden/>
              </w:rPr>
              <w:fldChar w:fldCharType="separate"/>
            </w:r>
            <w:r w:rsidR="0015220B">
              <w:rPr>
                <w:noProof/>
                <w:webHidden/>
              </w:rPr>
              <w:t>4</w:t>
            </w:r>
            <w:r w:rsidR="00DB556E" w:rsidRPr="00DB556E">
              <w:rPr>
                <w:noProof/>
                <w:webHidden/>
              </w:rPr>
              <w:fldChar w:fldCharType="end"/>
            </w:r>
          </w:hyperlink>
        </w:p>
        <w:p w14:paraId="27652C37" w14:textId="1C80607A" w:rsidR="00DB556E" w:rsidRPr="00DB556E" w:rsidRDefault="006F0A20">
          <w:pPr>
            <w:pStyle w:val="TDC1"/>
            <w:rPr>
              <w:rFonts w:asciiTheme="minorHAnsi" w:eastAsiaTheme="minorEastAsia" w:hAnsiTheme="minorHAnsi" w:cstheme="minorBidi"/>
              <w:b w:val="0"/>
              <w:bCs w:val="0"/>
              <w:szCs w:val="22"/>
              <w:lang w:eastAsia="es-GT"/>
            </w:rPr>
          </w:pPr>
          <w:hyperlink w:anchor="_Toc102477794" w:history="1">
            <w:r w:rsidR="00DB556E" w:rsidRPr="00DB556E">
              <w:rPr>
                <w:rStyle w:val="Hipervnculo"/>
                <w:lang w:val="es-MX"/>
              </w:rPr>
              <w:t>III.</w:t>
            </w:r>
            <w:r w:rsidR="00DB556E" w:rsidRPr="00DB556E">
              <w:rPr>
                <w:rFonts w:asciiTheme="minorHAnsi" w:eastAsiaTheme="minorEastAsia" w:hAnsiTheme="minorHAnsi" w:cstheme="minorBidi"/>
                <w:b w:val="0"/>
                <w:bCs w:val="0"/>
                <w:szCs w:val="22"/>
                <w:lang w:eastAsia="es-GT"/>
              </w:rPr>
              <w:tab/>
            </w:r>
            <w:r w:rsidR="00DB556E" w:rsidRPr="00DB556E">
              <w:rPr>
                <w:rStyle w:val="Hipervnculo"/>
                <w:lang w:val="es-MX"/>
              </w:rPr>
              <w:t>Transacciones en Activos No Financieros</w:t>
            </w:r>
            <w:r w:rsidR="00DB556E" w:rsidRPr="00DB556E">
              <w:rPr>
                <w:webHidden/>
              </w:rPr>
              <w:tab/>
            </w:r>
            <w:r w:rsidR="00DB556E" w:rsidRPr="00DB556E">
              <w:rPr>
                <w:webHidden/>
              </w:rPr>
              <w:fldChar w:fldCharType="begin"/>
            </w:r>
            <w:r w:rsidR="00DB556E" w:rsidRPr="00DB556E">
              <w:rPr>
                <w:webHidden/>
              </w:rPr>
              <w:instrText xml:space="preserve"> PAGEREF _Toc102477794 \h </w:instrText>
            </w:r>
            <w:r w:rsidR="00DB556E" w:rsidRPr="00DB556E">
              <w:rPr>
                <w:webHidden/>
              </w:rPr>
            </w:r>
            <w:r w:rsidR="00DB556E" w:rsidRPr="00DB556E">
              <w:rPr>
                <w:webHidden/>
              </w:rPr>
              <w:fldChar w:fldCharType="separate"/>
            </w:r>
            <w:r w:rsidR="0015220B">
              <w:rPr>
                <w:webHidden/>
              </w:rPr>
              <w:t>5</w:t>
            </w:r>
            <w:r w:rsidR="00DB556E" w:rsidRPr="00DB556E">
              <w:rPr>
                <w:webHidden/>
              </w:rPr>
              <w:fldChar w:fldCharType="end"/>
            </w:r>
          </w:hyperlink>
        </w:p>
        <w:p w14:paraId="6F5E0CEC" w14:textId="5908F3DF" w:rsidR="00DB556E" w:rsidRPr="00DB556E" w:rsidRDefault="006F0A20">
          <w:pPr>
            <w:pStyle w:val="TDC2"/>
            <w:rPr>
              <w:rFonts w:asciiTheme="minorHAnsi" w:hAnsiTheme="minorHAnsi"/>
              <w:noProof/>
              <w:szCs w:val="22"/>
              <w:lang w:eastAsia="es-GT"/>
            </w:rPr>
          </w:pPr>
          <w:hyperlink w:anchor="_Toc102477796" w:history="1">
            <w:r w:rsidR="00DB556E" w:rsidRPr="00DB556E">
              <w:rPr>
                <w:rStyle w:val="Hipervnculo"/>
                <w:rFonts w:cs="Times New Roman"/>
                <w:noProof/>
              </w:rPr>
              <w:t>3.1</w:t>
            </w:r>
            <w:r w:rsidR="00DB556E" w:rsidRPr="00DB556E">
              <w:rPr>
                <w:rFonts w:asciiTheme="minorHAnsi" w:hAnsiTheme="minorHAnsi"/>
                <w:noProof/>
                <w:szCs w:val="22"/>
                <w:lang w:eastAsia="es-GT"/>
              </w:rPr>
              <w:tab/>
            </w:r>
            <w:r w:rsidR="00DB556E" w:rsidRPr="00DB556E">
              <w:rPr>
                <w:rStyle w:val="Hipervnculo"/>
                <w:rFonts w:cs="Times New Roman"/>
                <w:noProof/>
              </w:rPr>
              <w:t>La inversión de activos no financieros es mayor en 2022</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_Toc102477796 \h </w:instrText>
            </w:r>
            <w:r w:rsidR="00DB556E" w:rsidRPr="00DB556E">
              <w:rPr>
                <w:noProof/>
                <w:webHidden/>
              </w:rPr>
            </w:r>
            <w:r w:rsidR="00DB556E" w:rsidRPr="00DB556E">
              <w:rPr>
                <w:noProof/>
                <w:webHidden/>
              </w:rPr>
              <w:fldChar w:fldCharType="separate"/>
            </w:r>
            <w:r w:rsidR="0015220B">
              <w:rPr>
                <w:noProof/>
                <w:webHidden/>
              </w:rPr>
              <w:t>5</w:t>
            </w:r>
            <w:r w:rsidR="00DB556E" w:rsidRPr="00DB556E">
              <w:rPr>
                <w:noProof/>
                <w:webHidden/>
              </w:rPr>
              <w:fldChar w:fldCharType="end"/>
            </w:r>
          </w:hyperlink>
        </w:p>
        <w:p w14:paraId="0622BCDD" w14:textId="2B50C70C" w:rsidR="00DB556E" w:rsidRPr="00DB556E" w:rsidRDefault="006F0A20">
          <w:pPr>
            <w:pStyle w:val="TDC1"/>
            <w:rPr>
              <w:rFonts w:asciiTheme="minorHAnsi" w:eastAsiaTheme="minorEastAsia" w:hAnsiTheme="minorHAnsi" w:cstheme="minorBidi"/>
              <w:b w:val="0"/>
              <w:bCs w:val="0"/>
              <w:szCs w:val="22"/>
              <w:lang w:eastAsia="es-GT"/>
            </w:rPr>
          </w:pPr>
          <w:hyperlink w:anchor="_Toc102477797" w:history="1">
            <w:r w:rsidR="00DB556E" w:rsidRPr="00DB556E">
              <w:rPr>
                <w:rStyle w:val="Hipervnculo"/>
                <w:lang w:val="es-MX"/>
              </w:rPr>
              <w:t>IV.</w:t>
            </w:r>
            <w:r w:rsidR="00DB556E" w:rsidRPr="00DB556E">
              <w:rPr>
                <w:rFonts w:asciiTheme="minorHAnsi" w:eastAsiaTheme="minorEastAsia" w:hAnsiTheme="minorHAnsi" w:cstheme="minorBidi"/>
                <w:b w:val="0"/>
                <w:bCs w:val="0"/>
                <w:szCs w:val="22"/>
                <w:lang w:eastAsia="es-GT"/>
              </w:rPr>
              <w:tab/>
            </w:r>
            <w:r w:rsidR="00DB556E" w:rsidRPr="00DB556E">
              <w:rPr>
                <w:rStyle w:val="Hipervnculo"/>
                <w:lang w:val="es-MX"/>
              </w:rPr>
              <w:t>Financiamiento</w:t>
            </w:r>
            <w:r w:rsidR="00DB556E" w:rsidRPr="00DB556E">
              <w:rPr>
                <w:webHidden/>
              </w:rPr>
              <w:tab/>
            </w:r>
            <w:r w:rsidR="00DB556E" w:rsidRPr="00DB556E">
              <w:rPr>
                <w:webHidden/>
              </w:rPr>
              <w:fldChar w:fldCharType="begin"/>
            </w:r>
            <w:r w:rsidR="00DB556E" w:rsidRPr="00DB556E">
              <w:rPr>
                <w:webHidden/>
              </w:rPr>
              <w:instrText xml:space="preserve"> PAGEREF _Toc102477797 \h </w:instrText>
            </w:r>
            <w:r w:rsidR="00DB556E" w:rsidRPr="00DB556E">
              <w:rPr>
                <w:webHidden/>
              </w:rPr>
            </w:r>
            <w:r w:rsidR="00DB556E" w:rsidRPr="00DB556E">
              <w:rPr>
                <w:webHidden/>
              </w:rPr>
              <w:fldChar w:fldCharType="separate"/>
            </w:r>
            <w:r w:rsidR="0015220B">
              <w:rPr>
                <w:webHidden/>
              </w:rPr>
              <w:t>6</w:t>
            </w:r>
            <w:r w:rsidR="00DB556E" w:rsidRPr="00DB556E">
              <w:rPr>
                <w:webHidden/>
              </w:rPr>
              <w:fldChar w:fldCharType="end"/>
            </w:r>
          </w:hyperlink>
        </w:p>
        <w:p w14:paraId="7DB418F6" w14:textId="389EB781" w:rsidR="00DB556E" w:rsidRPr="00DB556E" w:rsidRDefault="006F0A20">
          <w:pPr>
            <w:pStyle w:val="TDC2"/>
            <w:rPr>
              <w:rFonts w:asciiTheme="minorHAnsi" w:hAnsiTheme="minorHAnsi"/>
              <w:noProof/>
              <w:szCs w:val="22"/>
              <w:lang w:eastAsia="es-GT"/>
            </w:rPr>
          </w:pPr>
          <w:hyperlink w:anchor="_Toc102477799" w:history="1">
            <w:r w:rsidR="00DB556E" w:rsidRPr="00DB556E">
              <w:rPr>
                <w:rStyle w:val="Hipervnculo"/>
                <w:rFonts w:cs="Times New Roman"/>
                <w:noProof/>
              </w:rPr>
              <w:t>4.1</w:t>
            </w:r>
            <w:r w:rsidR="00DB556E" w:rsidRPr="00DB556E">
              <w:rPr>
                <w:rFonts w:asciiTheme="minorHAnsi" w:hAnsiTheme="minorHAnsi"/>
                <w:noProof/>
                <w:szCs w:val="22"/>
                <w:lang w:eastAsia="es-GT"/>
              </w:rPr>
              <w:tab/>
            </w:r>
            <w:r w:rsidR="00DB556E" w:rsidRPr="00DB556E">
              <w:rPr>
                <w:rStyle w:val="Hipervnculo"/>
                <w:rFonts w:cs="Times New Roman"/>
                <w:noProof/>
              </w:rPr>
              <w:t>Hay una acumulación de activos financieros</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_Toc102477799 \h </w:instrText>
            </w:r>
            <w:r w:rsidR="00DB556E" w:rsidRPr="00DB556E">
              <w:rPr>
                <w:noProof/>
                <w:webHidden/>
              </w:rPr>
            </w:r>
            <w:r w:rsidR="00DB556E" w:rsidRPr="00DB556E">
              <w:rPr>
                <w:noProof/>
                <w:webHidden/>
              </w:rPr>
              <w:fldChar w:fldCharType="separate"/>
            </w:r>
            <w:r w:rsidR="0015220B">
              <w:rPr>
                <w:noProof/>
                <w:webHidden/>
              </w:rPr>
              <w:t>6</w:t>
            </w:r>
            <w:r w:rsidR="00DB556E" w:rsidRPr="00DB556E">
              <w:rPr>
                <w:noProof/>
                <w:webHidden/>
              </w:rPr>
              <w:fldChar w:fldCharType="end"/>
            </w:r>
          </w:hyperlink>
        </w:p>
        <w:p w14:paraId="012E9BCB" w14:textId="668D99C3" w:rsidR="00DB556E" w:rsidRPr="00DB556E" w:rsidRDefault="006F0A20">
          <w:pPr>
            <w:pStyle w:val="TDC2"/>
            <w:rPr>
              <w:rFonts w:asciiTheme="minorHAnsi" w:hAnsiTheme="minorHAnsi"/>
              <w:noProof/>
              <w:szCs w:val="22"/>
              <w:lang w:eastAsia="es-GT"/>
            </w:rPr>
          </w:pPr>
          <w:hyperlink w:anchor="_Toc102477800" w:history="1">
            <w:r w:rsidR="00DB556E" w:rsidRPr="00DB556E">
              <w:rPr>
                <w:rStyle w:val="Hipervnculo"/>
                <w:rFonts w:cs="Times New Roman"/>
                <w:noProof/>
              </w:rPr>
              <w:t>4.2</w:t>
            </w:r>
            <w:r w:rsidR="00DB556E" w:rsidRPr="00DB556E">
              <w:rPr>
                <w:rFonts w:asciiTheme="minorHAnsi" w:hAnsiTheme="minorHAnsi"/>
                <w:noProof/>
                <w:szCs w:val="22"/>
                <w:lang w:eastAsia="es-GT"/>
              </w:rPr>
              <w:tab/>
            </w:r>
            <w:r w:rsidR="00DB556E" w:rsidRPr="00DB556E">
              <w:rPr>
                <w:rStyle w:val="Hipervnculo"/>
                <w:rFonts w:cs="Times New Roman"/>
                <w:noProof/>
              </w:rPr>
              <w:t>Uso de pasivos como fuente de financiamiento</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_Toc102477800 \h </w:instrText>
            </w:r>
            <w:r w:rsidR="00DB556E" w:rsidRPr="00DB556E">
              <w:rPr>
                <w:noProof/>
                <w:webHidden/>
              </w:rPr>
            </w:r>
            <w:r w:rsidR="00DB556E" w:rsidRPr="00DB556E">
              <w:rPr>
                <w:noProof/>
                <w:webHidden/>
              </w:rPr>
              <w:fldChar w:fldCharType="separate"/>
            </w:r>
            <w:r w:rsidR="0015220B">
              <w:rPr>
                <w:noProof/>
                <w:webHidden/>
              </w:rPr>
              <w:t>6</w:t>
            </w:r>
            <w:r w:rsidR="00DB556E" w:rsidRPr="00DB556E">
              <w:rPr>
                <w:noProof/>
                <w:webHidden/>
              </w:rPr>
              <w:fldChar w:fldCharType="end"/>
            </w:r>
          </w:hyperlink>
        </w:p>
        <w:p w14:paraId="741B6920" w14:textId="6E7FACE8" w:rsidR="00DB556E" w:rsidRPr="00DB556E" w:rsidRDefault="006F0A20">
          <w:pPr>
            <w:pStyle w:val="TDC1"/>
            <w:rPr>
              <w:rFonts w:asciiTheme="minorHAnsi" w:eastAsiaTheme="minorEastAsia" w:hAnsiTheme="minorHAnsi" w:cstheme="minorBidi"/>
              <w:b w:val="0"/>
              <w:bCs w:val="0"/>
              <w:szCs w:val="22"/>
              <w:lang w:eastAsia="es-GT"/>
            </w:rPr>
          </w:pPr>
          <w:hyperlink w:anchor="_Toc102477801" w:history="1">
            <w:r w:rsidR="00DB556E" w:rsidRPr="00DB556E">
              <w:rPr>
                <w:rStyle w:val="Hipervnculo"/>
                <w:lang w:val="es-ES_tradnl"/>
              </w:rPr>
              <w:t>V.</w:t>
            </w:r>
            <w:r w:rsidR="00DB556E" w:rsidRPr="00DB556E">
              <w:rPr>
                <w:rFonts w:asciiTheme="minorHAnsi" w:eastAsiaTheme="minorEastAsia" w:hAnsiTheme="minorHAnsi" w:cstheme="minorBidi"/>
                <w:b w:val="0"/>
                <w:bCs w:val="0"/>
                <w:szCs w:val="22"/>
                <w:lang w:eastAsia="es-GT"/>
              </w:rPr>
              <w:tab/>
            </w:r>
            <w:r w:rsidR="00DB556E" w:rsidRPr="00DB556E">
              <w:rPr>
                <w:rStyle w:val="Hipervnculo"/>
                <w:lang w:val="es-ES_tradnl"/>
              </w:rPr>
              <w:t>Erogaciones del Gobierno Central Presupuestario</w:t>
            </w:r>
            <w:r w:rsidR="00DB556E" w:rsidRPr="00DB556E">
              <w:rPr>
                <w:webHidden/>
              </w:rPr>
              <w:tab/>
            </w:r>
            <w:r w:rsidR="00DB556E" w:rsidRPr="00DB556E">
              <w:rPr>
                <w:webHidden/>
              </w:rPr>
              <w:fldChar w:fldCharType="begin"/>
            </w:r>
            <w:r w:rsidR="00DB556E" w:rsidRPr="00DB556E">
              <w:rPr>
                <w:webHidden/>
              </w:rPr>
              <w:instrText xml:space="preserve"> PAGEREF _Toc102477801 \h </w:instrText>
            </w:r>
            <w:r w:rsidR="00DB556E" w:rsidRPr="00DB556E">
              <w:rPr>
                <w:webHidden/>
              </w:rPr>
            </w:r>
            <w:r w:rsidR="00DB556E" w:rsidRPr="00DB556E">
              <w:rPr>
                <w:webHidden/>
              </w:rPr>
              <w:fldChar w:fldCharType="separate"/>
            </w:r>
            <w:r w:rsidR="0015220B">
              <w:rPr>
                <w:webHidden/>
              </w:rPr>
              <w:t>7</w:t>
            </w:r>
            <w:r w:rsidR="00DB556E" w:rsidRPr="00DB556E">
              <w:rPr>
                <w:webHidden/>
              </w:rPr>
              <w:fldChar w:fldCharType="end"/>
            </w:r>
          </w:hyperlink>
        </w:p>
        <w:p w14:paraId="5A9CDB2C" w14:textId="6805A6A9" w:rsidR="00DB556E" w:rsidRPr="00DB556E" w:rsidRDefault="006F0A20">
          <w:pPr>
            <w:pStyle w:val="TDC2"/>
            <w:rPr>
              <w:rFonts w:asciiTheme="minorHAnsi" w:hAnsiTheme="minorHAnsi"/>
              <w:noProof/>
              <w:szCs w:val="22"/>
              <w:lang w:eastAsia="es-GT"/>
            </w:rPr>
          </w:pPr>
          <w:hyperlink w:anchor="_Toc102477808" w:history="1">
            <w:r w:rsidR="00DB556E" w:rsidRPr="00DB556E">
              <w:rPr>
                <w:rStyle w:val="Hipervnculo"/>
                <w:rFonts w:cs="Times New Roman"/>
                <w:noProof/>
              </w:rPr>
              <w:t>5.1</w:t>
            </w:r>
            <w:r w:rsidR="00DB556E" w:rsidRPr="00DB556E">
              <w:rPr>
                <w:rFonts w:asciiTheme="minorHAnsi" w:hAnsiTheme="minorHAnsi"/>
                <w:noProof/>
                <w:szCs w:val="22"/>
                <w:lang w:eastAsia="es-GT"/>
              </w:rPr>
              <w:tab/>
            </w:r>
            <w:r w:rsidR="00DB556E" w:rsidRPr="00DB556E">
              <w:rPr>
                <w:rStyle w:val="Hipervnculo"/>
                <w:rFonts w:cs="Times New Roman"/>
                <w:noProof/>
              </w:rPr>
              <w:t>Erogaciones por Función aumentaron</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_Toc102477808 \h </w:instrText>
            </w:r>
            <w:r w:rsidR="00DB556E" w:rsidRPr="00DB556E">
              <w:rPr>
                <w:noProof/>
                <w:webHidden/>
              </w:rPr>
            </w:r>
            <w:r w:rsidR="00DB556E" w:rsidRPr="00DB556E">
              <w:rPr>
                <w:noProof/>
                <w:webHidden/>
              </w:rPr>
              <w:fldChar w:fldCharType="separate"/>
            </w:r>
            <w:r w:rsidR="0015220B">
              <w:rPr>
                <w:noProof/>
                <w:webHidden/>
              </w:rPr>
              <w:t>7</w:t>
            </w:r>
            <w:r w:rsidR="00DB556E" w:rsidRPr="00DB556E">
              <w:rPr>
                <w:noProof/>
                <w:webHidden/>
              </w:rPr>
              <w:fldChar w:fldCharType="end"/>
            </w:r>
          </w:hyperlink>
        </w:p>
        <w:p w14:paraId="4E91179A" w14:textId="579EFBF0" w:rsidR="00DB556E" w:rsidRPr="00DB556E" w:rsidRDefault="006F0A20">
          <w:pPr>
            <w:pStyle w:val="TDC2"/>
            <w:rPr>
              <w:rFonts w:asciiTheme="minorHAnsi" w:hAnsiTheme="minorHAnsi"/>
              <w:noProof/>
              <w:szCs w:val="22"/>
              <w:lang w:eastAsia="es-GT"/>
            </w:rPr>
          </w:pPr>
          <w:hyperlink w:anchor="_Toc102477809" w:history="1">
            <w:r w:rsidR="00DB556E" w:rsidRPr="00DB556E">
              <w:rPr>
                <w:rStyle w:val="Hipervnculo"/>
                <w:rFonts w:cs="Times New Roman"/>
                <w:noProof/>
              </w:rPr>
              <w:t>5.2</w:t>
            </w:r>
            <w:r w:rsidR="00DB556E" w:rsidRPr="00DB556E">
              <w:rPr>
                <w:rFonts w:asciiTheme="minorHAnsi" w:hAnsiTheme="minorHAnsi"/>
                <w:noProof/>
                <w:szCs w:val="22"/>
                <w:lang w:eastAsia="es-GT"/>
              </w:rPr>
              <w:tab/>
            </w:r>
            <w:r w:rsidR="00DB556E" w:rsidRPr="00DB556E">
              <w:rPr>
                <w:rStyle w:val="Hipervnculo"/>
                <w:rFonts w:cs="Times New Roman"/>
                <w:noProof/>
              </w:rPr>
              <w:t>Grado de Ejecución Presupuestaria</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_Toc102477809 \h </w:instrText>
            </w:r>
            <w:r w:rsidR="00DB556E" w:rsidRPr="00DB556E">
              <w:rPr>
                <w:noProof/>
                <w:webHidden/>
              </w:rPr>
            </w:r>
            <w:r w:rsidR="00DB556E" w:rsidRPr="00DB556E">
              <w:rPr>
                <w:noProof/>
                <w:webHidden/>
              </w:rPr>
              <w:fldChar w:fldCharType="separate"/>
            </w:r>
            <w:r w:rsidR="0015220B">
              <w:rPr>
                <w:noProof/>
                <w:webHidden/>
              </w:rPr>
              <w:t>8</w:t>
            </w:r>
            <w:r w:rsidR="00DB556E" w:rsidRPr="00DB556E">
              <w:rPr>
                <w:noProof/>
                <w:webHidden/>
              </w:rPr>
              <w:fldChar w:fldCharType="end"/>
            </w:r>
          </w:hyperlink>
        </w:p>
        <w:p w14:paraId="2F434903" w14:textId="2CB529EA" w:rsidR="00DB556E" w:rsidRPr="00DB556E" w:rsidRDefault="006F0A20">
          <w:pPr>
            <w:pStyle w:val="TDC1"/>
            <w:rPr>
              <w:rFonts w:asciiTheme="minorHAnsi" w:eastAsiaTheme="minorEastAsia" w:hAnsiTheme="minorHAnsi" w:cstheme="minorBidi"/>
              <w:b w:val="0"/>
              <w:bCs w:val="0"/>
              <w:szCs w:val="22"/>
              <w:lang w:eastAsia="es-GT"/>
            </w:rPr>
          </w:pPr>
          <w:hyperlink w:anchor="_Toc102477810" w:history="1">
            <w:r w:rsidR="00DB556E" w:rsidRPr="00DB556E">
              <w:rPr>
                <w:rStyle w:val="Hipervnculo"/>
                <w:lang w:val="es-MX"/>
              </w:rPr>
              <w:t>VI.</w:t>
            </w:r>
            <w:r w:rsidR="00DB556E" w:rsidRPr="00DB556E">
              <w:rPr>
                <w:rFonts w:asciiTheme="minorHAnsi" w:eastAsiaTheme="minorEastAsia" w:hAnsiTheme="minorHAnsi" w:cstheme="minorBidi"/>
                <w:b w:val="0"/>
                <w:bCs w:val="0"/>
                <w:szCs w:val="22"/>
                <w:lang w:eastAsia="es-GT"/>
              </w:rPr>
              <w:tab/>
            </w:r>
            <w:r w:rsidR="00DB556E" w:rsidRPr="00DB556E">
              <w:rPr>
                <w:rStyle w:val="Hipervnculo"/>
                <w:lang w:val="es-MX"/>
              </w:rPr>
              <w:t>Resultado Fiscal</w:t>
            </w:r>
            <w:r w:rsidR="00DB556E" w:rsidRPr="00DB556E">
              <w:rPr>
                <w:webHidden/>
              </w:rPr>
              <w:tab/>
            </w:r>
            <w:r w:rsidR="00DB556E" w:rsidRPr="00DB556E">
              <w:rPr>
                <w:webHidden/>
              </w:rPr>
              <w:fldChar w:fldCharType="begin"/>
            </w:r>
            <w:r w:rsidR="00DB556E" w:rsidRPr="00DB556E">
              <w:rPr>
                <w:webHidden/>
              </w:rPr>
              <w:instrText xml:space="preserve"> PAGEREF _Toc102477810 \h </w:instrText>
            </w:r>
            <w:r w:rsidR="00DB556E" w:rsidRPr="00DB556E">
              <w:rPr>
                <w:webHidden/>
              </w:rPr>
            </w:r>
            <w:r w:rsidR="00DB556E" w:rsidRPr="00DB556E">
              <w:rPr>
                <w:webHidden/>
              </w:rPr>
              <w:fldChar w:fldCharType="separate"/>
            </w:r>
            <w:r w:rsidR="0015220B">
              <w:rPr>
                <w:webHidden/>
              </w:rPr>
              <w:t>9</w:t>
            </w:r>
            <w:r w:rsidR="00DB556E" w:rsidRPr="00DB556E">
              <w:rPr>
                <w:webHidden/>
              </w:rPr>
              <w:fldChar w:fldCharType="end"/>
            </w:r>
          </w:hyperlink>
        </w:p>
        <w:p w14:paraId="4354B84E" w14:textId="03C8E393" w:rsidR="00DB556E" w:rsidRPr="00DB556E" w:rsidRDefault="006F0A20">
          <w:pPr>
            <w:pStyle w:val="TDC2"/>
            <w:rPr>
              <w:rFonts w:asciiTheme="minorHAnsi" w:hAnsiTheme="minorHAnsi"/>
              <w:noProof/>
              <w:szCs w:val="22"/>
              <w:lang w:eastAsia="es-GT"/>
            </w:rPr>
          </w:pPr>
          <w:hyperlink w:anchor="_Toc102477812" w:history="1">
            <w:r w:rsidR="00DB556E" w:rsidRPr="00DB556E">
              <w:rPr>
                <w:rStyle w:val="Hipervnculo"/>
                <w:rFonts w:cs="Times New Roman"/>
                <w:noProof/>
              </w:rPr>
              <w:t>6.1</w:t>
            </w:r>
            <w:r w:rsidR="00DB556E" w:rsidRPr="00DB556E">
              <w:rPr>
                <w:rFonts w:asciiTheme="minorHAnsi" w:hAnsiTheme="minorHAnsi"/>
                <w:noProof/>
                <w:szCs w:val="22"/>
                <w:lang w:eastAsia="es-GT"/>
              </w:rPr>
              <w:tab/>
            </w:r>
            <w:r w:rsidR="00DB556E" w:rsidRPr="00DB556E">
              <w:rPr>
                <w:rStyle w:val="Hipervnculo"/>
                <w:rFonts w:cs="Times New Roman"/>
                <w:noProof/>
              </w:rPr>
              <w:t>Resultado Operativo es positivo</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_Toc102477812 \h </w:instrText>
            </w:r>
            <w:r w:rsidR="00DB556E" w:rsidRPr="00DB556E">
              <w:rPr>
                <w:noProof/>
                <w:webHidden/>
              </w:rPr>
            </w:r>
            <w:r w:rsidR="00DB556E" w:rsidRPr="00DB556E">
              <w:rPr>
                <w:noProof/>
                <w:webHidden/>
              </w:rPr>
              <w:fldChar w:fldCharType="separate"/>
            </w:r>
            <w:r w:rsidR="0015220B">
              <w:rPr>
                <w:noProof/>
                <w:webHidden/>
              </w:rPr>
              <w:t>9</w:t>
            </w:r>
            <w:r w:rsidR="00DB556E" w:rsidRPr="00DB556E">
              <w:rPr>
                <w:noProof/>
                <w:webHidden/>
              </w:rPr>
              <w:fldChar w:fldCharType="end"/>
            </w:r>
          </w:hyperlink>
        </w:p>
        <w:p w14:paraId="242F555D" w14:textId="44FE27CC" w:rsidR="00DB556E" w:rsidRPr="00DB556E" w:rsidRDefault="006F0A20">
          <w:pPr>
            <w:pStyle w:val="TDC2"/>
            <w:rPr>
              <w:rFonts w:asciiTheme="minorHAnsi" w:hAnsiTheme="minorHAnsi"/>
              <w:noProof/>
              <w:szCs w:val="22"/>
              <w:lang w:eastAsia="es-GT"/>
            </w:rPr>
          </w:pPr>
          <w:hyperlink w:anchor="_Toc102477813" w:history="1">
            <w:r w:rsidR="00DB556E" w:rsidRPr="00DB556E">
              <w:rPr>
                <w:rStyle w:val="Hipervnculo"/>
                <w:rFonts w:cs="Times New Roman"/>
                <w:noProof/>
              </w:rPr>
              <w:t>6.2</w:t>
            </w:r>
            <w:r w:rsidR="00DB556E" w:rsidRPr="00DB556E">
              <w:rPr>
                <w:rFonts w:asciiTheme="minorHAnsi" w:hAnsiTheme="minorHAnsi"/>
                <w:noProof/>
                <w:szCs w:val="22"/>
                <w:lang w:eastAsia="es-GT"/>
              </w:rPr>
              <w:tab/>
            </w:r>
            <w:r w:rsidR="00DB556E" w:rsidRPr="00DB556E">
              <w:rPr>
                <w:rStyle w:val="Hipervnculo"/>
                <w:rFonts w:cs="Times New Roman"/>
                <w:noProof/>
              </w:rPr>
              <w:t>Existe un superávit fiscal</w:t>
            </w:r>
            <w:r w:rsidR="00DB556E" w:rsidRPr="00DB556E">
              <w:rPr>
                <w:noProof/>
                <w:webHidden/>
              </w:rPr>
              <w:tab/>
            </w:r>
            <w:r w:rsidR="00DB556E" w:rsidRPr="00DB556E">
              <w:rPr>
                <w:noProof/>
                <w:webHidden/>
              </w:rPr>
              <w:fldChar w:fldCharType="begin"/>
            </w:r>
            <w:r w:rsidR="00DB556E" w:rsidRPr="00DB556E">
              <w:rPr>
                <w:noProof/>
                <w:webHidden/>
              </w:rPr>
              <w:instrText xml:space="preserve"> PAGEREF _Toc102477813 \h </w:instrText>
            </w:r>
            <w:r w:rsidR="00DB556E" w:rsidRPr="00DB556E">
              <w:rPr>
                <w:noProof/>
                <w:webHidden/>
              </w:rPr>
            </w:r>
            <w:r w:rsidR="00DB556E" w:rsidRPr="00DB556E">
              <w:rPr>
                <w:noProof/>
                <w:webHidden/>
              </w:rPr>
              <w:fldChar w:fldCharType="separate"/>
            </w:r>
            <w:r w:rsidR="0015220B">
              <w:rPr>
                <w:noProof/>
                <w:webHidden/>
              </w:rPr>
              <w:t>9</w:t>
            </w:r>
            <w:r w:rsidR="00DB556E" w:rsidRPr="00DB556E">
              <w:rPr>
                <w:noProof/>
                <w:webHidden/>
              </w:rPr>
              <w:fldChar w:fldCharType="end"/>
            </w:r>
          </w:hyperlink>
        </w:p>
        <w:p w14:paraId="5BE2AAB0" w14:textId="46EAA022" w:rsidR="0032588B" w:rsidRPr="00DB556E" w:rsidRDefault="0032588B" w:rsidP="00CD34D6">
          <w:pPr>
            <w:spacing w:line="276" w:lineRule="auto"/>
            <w:rPr>
              <w:rFonts w:cs="Times New Roman"/>
              <w:color w:val="FF0000"/>
            </w:rPr>
          </w:pPr>
          <w:r w:rsidRPr="00DB556E">
            <w:rPr>
              <w:rFonts w:cs="Times New Roman"/>
              <w:bCs/>
              <w:color w:val="FF0000"/>
              <w:lang w:val="es-ES"/>
            </w:rPr>
            <w:fldChar w:fldCharType="end"/>
          </w:r>
        </w:p>
      </w:sdtContent>
    </w:sdt>
    <w:p w14:paraId="21BB0213" w14:textId="77777777" w:rsidR="006B58E6" w:rsidRPr="00DB556E" w:rsidRDefault="006B58E6" w:rsidP="006B58E6">
      <w:pPr>
        <w:tabs>
          <w:tab w:val="left" w:pos="5490"/>
        </w:tabs>
        <w:spacing w:after="200" w:line="276" w:lineRule="auto"/>
        <w:rPr>
          <w:rFonts w:eastAsiaTheme="majorEastAsia" w:cs="Times New Roman"/>
          <w:b/>
          <w:bCs/>
          <w:szCs w:val="26"/>
        </w:rPr>
      </w:pPr>
      <w:bookmarkStart w:id="3" w:name="_Toc33180541"/>
      <w:r w:rsidRPr="00DB556E">
        <w:rPr>
          <w:rFonts w:eastAsiaTheme="majorEastAsia" w:cs="Times New Roman"/>
          <w:b/>
          <w:bCs/>
          <w:szCs w:val="26"/>
        </w:rPr>
        <w:tab/>
      </w:r>
    </w:p>
    <w:p w14:paraId="1E4B481B" w14:textId="77777777" w:rsidR="0041288C" w:rsidRPr="00DB556E" w:rsidRDefault="0041288C" w:rsidP="006B58E6">
      <w:pPr>
        <w:tabs>
          <w:tab w:val="left" w:pos="5490"/>
        </w:tabs>
        <w:spacing w:after="200" w:line="276" w:lineRule="auto"/>
        <w:rPr>
          <w:rFonts w:eastAsiaTheme="majorEastAsia" w:cs="Times New Roman"/>
          <w:b/>
          <w:bCs/>
          <w:szCs w:val="26"/>
        </w:rPr>
      </w:pPr>
      <w:r w:rsidRPr="00DB556E">
        <w:rPr>
          <w:rFonts w:eastAsiaTheme="majorEastAsia" w:cs="Times New Roman"/>
          <w:szCs w:val="26"/>
        </w:rPr>
        <w:br w:type="page"/>
      </w:r>
    </w:p>
    <w:p w14:paraId="4919E5EF" w14:textId="77777777" w:rsidR="0041288C" w:rsidRPr="00DB556E" w:rsidRDefault="0041288C" w:rsidP="00055D08">
      <w:pPr>
        <w:pStyle w:val="Prrafodelista"/>
        <w:ind w:left="0"/>
        <w:outlineLvl w:val="0"/>
        <w:rPr>
          <w:rFonts w:eastAsiaTheme="majorEastAsia" w:cs="Times New Roman"/>
          <w:b/>
          <w:bCs/>
          <w:sz w:val="24"/>
          <w:szCs w:val="26"/>
          <w:lang w:val="es-ES_tradnl" w:eastAsia="es-ES"/>
        </w:rPr>
      </w:pPr>
      <w:bookmarkStart w:id="4" w:name="_Toc102477783"/>
      <w:r w:rsidRPr="00DB556E">
        <w:rPr>
          <w:rFonts w:eastAsiaTheme="majorEastAsia" w:cs="Times New Roman"/>
          <w:b/>
          <w:bCs/>
          <w:sz w:val="24"/>
          <w:szCs w:val="26"/>
          <w:lang w:val="es-ES_tradnl" w:eastAsia="es-ES"/>
        </w:rPr>
        <w:lastRenderedPageBreak/>
        <w:t>Introducción</w:t>
      </w:r>
      <w:bookmarkEnd w:id="3"/>
      <w:bookmarkEnd w:id="4"/>
    </w:p>
    <w:p w14:paraId="0196EF86" w14:textId="77777777" w:rsidR="00974B8B" w:rsidRPr="00DB556E" w:rsidRDefault="0041288C" w:rsidP="00F55D61">
      <w:pPr>
        <w:rPr>
          <w:lang w:val="es-MX"/>
        </w:rPr>
      </w:pPr>
      <w:r w:rsidRPr="00DB556E">
        <w:rPr>
          <w:lang w:val="es-MX"/>
        </w:rPr>
        <w:t xml:space="preserve">A continuación, se presenta </w:t>
      </w:r>
      <w:r w:rsidRPr="00DB556E">
        <w:rPr>
          <w:b/>
          <w:bCs/>
          <w:lang w:val="es-MX"/>
        </w:rPr>
        <w:t>el Informe</w:t>
      </w:r>
      <w:r w:rsidR="00445193" w:rsidRPr="00DB556E">
        <w:rPr>
          <w:b/>
          <w:bCs/>
          <w:lang w:val="es-MX"/>
        </w:rPr>
        <w:t xml:space="preserve"> </w:t>
      </w:r>
      <w:r w:rsidR="00AB1204" w:rsidRPr="00DB556E">
        <w:rPr>
          <w:b/>
          <w:bCs/>
          <w:lang w:val="es-MX"/>
        </w:rPr>
        <w:t>del Primer</w:t>
      </w:r>
      <w:r w:rsidR="002E2298" w:rsidRPr="00DB556E">
        <w:rPr>
          <w:b/>
          <w:bCs/>
          <w:lang w:val="es-MX"/>
        </w:rPr>
        <w:t xml:space="preserve"> </w:t>
      </w:r>
      <w:r w:rsidR="00C923AF" w:rsidRPr="00DB556E">
        <w:rPr>
          <w:b/>
          <w:bCs/>
          <w:lang w:val="es-MX"/>
        </w:rPr>
        <w:t>T</w:t>
      </w:r>
      <w:r w:rsidR="002E2298" w:rsidRPr="00DB556E">
        <w:rPr>
          <w:b/>
          <w:bCs/>
          <w:lang w:val="es-MX"/>
        </w:rPr>
        <w:t>rimestre de 202</w:t>
      </w:r>
      <w:r w:rsidR="00F535E9" w:rsidRPr="00DB556E">
        <w:rPr>
          <w:b/>
          <w:bCs/>
          <w:lang w:val="es-MX"/>
        </w:rPr>
        <w:t>2</w:t>
      </w:r>
      <w:r w:rsidR="002E2298" w:rsidRPr="00DB556E">
        <w:rPr>
          <w:lang w:val="es-MX"/>
        </w:rPr>
        <w:t xml:space="preserve">, </w:t>
      </w:r>
      <w:r w:rsidRPr="00DB556E">
        <w:rPr>
          <w:lang w:val="es-MX"/>
        </w:rPr>
        <w:t>sobre l</w:t>
      </w:r>
      <w:r w:rsidR="00D63046" w:rsidRPr="00DB556E">
        <w:rPr>
          <w:lang w:val="es-MX"/>
        </w:rPr>
        <w:t>a ejecución financiera del gobierno central presupuestario sobre la base de las</w:t>
      </w:r>
      <w:r w:rsidRPr="00DB556E">
        <w:rPr>
          <w:lang w:val="es-MX"/>
        </w:rPr>
        <w:t xml:space="preserve"> Estadísticas de las Finanzas Públicas -EFP- el cual contiene los aspectos más relevantes de la evolución de las variables fiscales</w:t>
      </w:r>
      <w:r w:rsidR="00D63046" w:rsidRPr="00DB556E">
        <w:rPr>
          <w:lang w:val="es-MX"/>
        </w:rPr>
        <w:t>, así como las</w:t>
      </w:r>
      <w:r w:rsidR="00AA5C09" w:rsidRPr="00DB556E">
        <w:rPr>
          <w:lang w:val="es-MX"/>
        </w:rPr>
        <w:t xml:space="preserve"> </w:t>
      </w:r>
      <w:r w:rsidRPr="00DB556E">
        <w:rPr>
          <w:lang w:val="es-MX"/>
        </w:rPr>
        <w:t>principales acciones en materia de ingresos, gasto, transacciones en activos y pasivos y las erogaciones por función del Gobierno</w:t>
      </w:r>
      <w:r w:rsidR="004E3572" w:rsidRPr="00DB556E">
        <w:rPr>
          <w:lang w:val="es-MX"/>
        </w:rPr>
        <w:t xml:space="preserve">. </w:t>
      </w:r>
    </w:p>
    <w:p w14:paraId="166F9829" w14:textId="77777777" w:rsidR="00974B8B" w:rsidRPr="00DB556E" w:rsidRDefault="00974B8B" w:rsidP="00F55D61">
      <w:pPr>
        <w:rPr>
          <w:lang w:val="es-MX"/>
        </w:rPr>
      </w:pPr>
    </w:p>
    <w:p w14:paraId="522D2460" w14:textId="77777777" w:rsidR="0041288C" w:rsidRPr="00DB556E" w:rsidRDefault="004E3572" w:rsidP="00F55D61">
      <w:pPr>
        <w:rPr>
          <w:lang w:val="es-MX"/>
        </w:rPr>
      </w:pPr>
      <w:r w:rsidRPr="00DB556E">
        <w:rPr>
          <w:lang w:val="es-MX"/>
        </w:rPr>
        <w:t xml:space="preserve">Cabe mencionar que dicha información utiliza los </w:t>
      </w:r>
      <w:r w:rsidR="005F2296" w:rsidRPr="00DB556E">
        <w:rPr>
          <w:lang w:val="es-MX"/>
        </w:rPr>
        <w:t>estándares internacionales establecidos en el Manual de Estadísticas de las Finanzas Públicas 2014 -MEFP-</w:t>
      </w:r>
      <w:r w:rsidR="00974B8B" w:rsidRPr="00DB556E">
        <w:rPr>
          <w:lang w:val="es-MX"/>
        </w:rPr>
        <w:t xml:space="preserve"> del Fondo Monetario </w:t>
      </w:r>
      <w:r w:rsidR="00F35956" w:rsidRPr="00DB556E">
        <w:rPr>
          <w:lang w:val="es-MX"/>
        </w:rPr>
        <w:t xml:space="preserve">Internacional </w:t>
      </w:r>
      <w:r w:rsidR="0041288C" w:rsidRPr="00DB556E">
        <w:rPr>
          <w:lang w:val="es-MX"/>
        </w:rPr>
        <w:t>-FMI- por lo que existen diferencias en comparación</w:t>
      </w:r>
      <w:r w:rsidR="00774760" w:rsidRPr="00DB556E">
        <w:rPr>
          <w:lang w:val="es-MX"/>
        </w:rPr>
        <w:t xml:space="preserve"> a las cifras que son publicadas </w:t>
      </w:r>
      <w:r w:rsidR="0041288C" w:rsidRPr="00DB556E">
        <w:rPr>
          <w:lang w:val="es-MX"/>
        </w:rPr>
        <w:t>utiliza</w:t>
      </w:r>
      <w:r w:rsidR="00774760" w:rsidRPr="00DB556E">
        <w:rPr>
          <w:lang w:val="es-MX"/>
        </w:rPr>
        <w:t>ndo</w:t>
      </w:r>
      <w:r w:rsidR="0041288C" w:rsidRPr="00DB556E">
        <w:rPr>
          <w:lang w:val="es-MX"/>
        </w:rPr>
        <w:t xml:space="preserve"> la metodología nacional.</w:t>
      </w:r>
      <w:r w:rsidR="00F8714D" w:rsidRPr="00DB556E">
        <w:rPr>
          <w:lang w:val="es-MX"/>
        </w:rPr>
        <w:t xml:space="preserve"> </w:t>
      </w:r>
      <w:r w:rsidR="003D1490" w:rsidRPr="00DB556E">
        <w:rPr>
          <w:lang w:val="es-MX"/>
        </w:rPr>
        <w:t xml:space="preserve">En caso de cualquier </w:t>
      </w:r>
      <w:r w:rsidR="00FA4254" w:rsidRPr="00DB556E">
        <w:rPr>
          <w:lang w:val="es-MX"/>
        </w:rPr>
        <w:t>duda</w:t>
      </w:r>
      <w:r w:rsidR="00E507D9" w:rsidRPr="00DB556E">
        <w:rPr>
          <w:lang w:val="es-MX"/>
        </w:rPr>
        <w:t xml:space="preserve"> sobre estas diferencias</w:t>
      </w:r>
      <w:r w:rsidR="002710C2" w:rsidRPr="00DB556E">
        <w:rPr>
          <w:lang w:val="es-MX"/>
        </w:rPr>
        <w:t xml:space="preserve">, </w:t>
      </w:r>
      <w:r w:rsidR="00723705" w:rsidRPr="00DB556E">
        <w:rPr>
          <w:lang w:val="es-MX"/>
        </w:rPr>
        <w:t xml:space="preserve">se </w:t>
      </w:r>
      <w:r w:rsidR="002710C2" w:rsidRPr="00DB556E">
        <w:rPr>
          <w:lang w:val="es-MX"/>
        </w:rPr>
        <w:t xml:space="preserve">puede consultar los documentos de </w:t>
      </w:r>
      <w:r w:rsidR="00C139AC" w:rsidRPr="00DB556E">
        <w:rPr>
          <w:lang w:val="es-MX"/>
        </w:rPr>
        <w:t>“</w:t>
      </w:r>
      <w:r w:rsidR="002710C2" w:rsidRPr="00DB556E">
        <w:rPr>
          <w:lang w:val="es-MX"/>
        </w:rPr>
        <w:t>Metodología</w:t>
      </w:r>
      <w:r w:rsidR="00C139AC" w:rsidRPr="00DB556E">
        <w:rPr>
          <w:lang w:val="es-MX"/>
        </w:rPr>
        <w:t>”</w:t>
      </w:r>
      <w:r w:rsidR="002710C2" w:rsidRPr="00DB556E">
        <w:rPr>
          <w:lang w:val="es-MX"/>
        </w:rPr>
        <w:t xml:space="preserve"> y de </w:t>
      </w:r>
      <w:r w:rsidR="00C139AC" w:rsidRPr="00DB556E">
        <w:rPr>
          <w:lang w:val="es-MX"/>
        </w:rPr>
        <w:t xml:space="preserve">“Metadatos” </w:t>
      </w:r>
      <w:r w:rsidR="00F42DC5" w:rsidRPr="00DB556E">
        <w:rPr>
          <w:lang w:val="es-MX"/>
        </w:rPr>
        <w:t xml:space="preserve">que se encuentran publicados en </w:t>
      </w:r>
      <w:r w:rsidR="00C923AF" w:rsidRPr="00DB556E">
        <w:rPr>
          <w:lang w:val="es-MX"/>
        </w:rPr>
        <w:t xml:space="preserve">la </w:t>
      </w:r>
      <w:r w:rsidR="00DB2A3F" w:rsidRPr="00DB556E">
        <w:rPr>
          <w:lang w:val="es-MX"/>
        </w:rPr>
        <w:t>página</w:t>
      </w:r>
      <w:r w:rsidR="00F42DC5" w:rsidRPr="00DB556E">
        <w:rPr>
          <w:lang w:val="es-MX"/>
        </w:rPr>
        <w:t xml:space="preserve"> web</w:t>
      </w:r>
      <w:r w:rsidR="00C923AF" w:rsidRPr="00DB556E">
        <w:rPr>
          <w:lang w:val="es-MX"/>
        </w:rPr>
        <w:t xml:space="preserve"> del Ministerio de Finanzas Públicas</w:t>
      </w:r>
      <w:r w:rsidR="00723705" w:rsidRPr="00DB556E">
        <w:rPr>
          <w:lang w:val="es-MX"/>
        </w:rPr>
        <w:t>,</w:t>
      </w:r>
      <w:r w:rsidR="00C923AF" w:rsidRPr="00DB556E">
        <w:rPr>
          <w:lang w:val="es-MX"/>
        </w:rPr>
        <w:t xml:space="preserve"> en la sección de “Estadísticas según Estándares Internacionales”</w:t>
      </w:r>
      <w:r w:rsidR="00F42DC5" w:rsidRPr="00DB556E">
        <w:rPr>
          <w:lang w:val="es-MX"/>
        </w:rPr>
        <w:t>.</w:t>
      </w:r>
    </w:p>
    <w:p w14:paraId="28D96728" w14:textId="77777777" w:rsidR="002B762F" w:rsidRPr="00DB556E" w:rsidRDefault="002B762F" w:rsidP="00F55D61">
      <w:pPr>
        <w:rPr>
          <w:lang w:val="es-MX"/>
        </w:rPr>
      </w:pPr>
    </w:p>
    <w:p w14:paraId="37573775" w14:textId="77777777" w:rsidR="00E66A98" w:rsidRPr="00DB556E" w:rsidRDefault="00A52F77" w:rsidP="00E66A98">
      <w:pPr>
        <w:pStyle w:val="Prrafodelista"/>
        <w:numPr>
          <w:ilvl w:val="0"/>
          <w:numId w:val="1"/>
        </w:numPr>
        <w:ind w:left="284" w:hanging="284"/>
        <w:outlineLvl w:val="0"/>
        <w:rPr>
          <w:rFonts w:eastAsiaTheme="majorEastAsia" w:cs="Times New Roman"/>
          <w:b/>
          <w:bCs/>
          <w:sz w:val="24"/>
          <w:szCs w:val="26"/>
          <w:lang w:val="es-ES_tradnl" w:eastAsia="es-ES"/>
        </w:rPr>
      </w:pPr>
      <w:bookmarkStart w:id="5" w:name="_Toc102477784"/>
      <w:bookmarkEnd w:id="1"/>
      <w:bookmarkEnd w:id="2"/>
      <w:r w:rsidRPr="00DB556E">
        <w:rPr>
          <w:rFonts w:eastAsiaTheme="majorEastAsia" w:cs="Times New Roman"/>
          <w:b/>
          <w:bCs/>
          <w:sz w:val="24"/>
          <w:szCs w:val="26"/>
          <w:lang w:val="es-ES_tradnl" w:eastAsia="es-ES"/>
        </w:rPr>
        <w:t>Ingresos</w:t>
      </w:r>
      <w:r w:rsidR="00E66A98" w:rsidRPr="00DB556E">
        <w:rPr>
          <w:rFonts w:eastAsiaTheme="majorEastAsia" w:cs="Times New Roman"/>
          <w:b/>
          <w:bCs/>
          <w:sz w:val="24"/>
          <w:szCs w:val="26"/>
          <w:lang w:val="es-ES_tradnl" w:eastAsia="es-ES"/>
        </w:rPr>
        <w:t xml:space="preserve"> </w:t>
      </w:r>
      <w:r w:rsidR="00301F9F" w:rsidRPr="00DB556E">
        <w:rPr>
          <w:rFonts w:eastAsiaTheme="majorEastAsia" w:cs="Times New Roman"/>
          <w:b/>
          <w:bCs/>
          <w:sz w:val="24"/>
          <w:szCs w:val="26"/>
          <w:lang w:val="es-ES_tradnl" w:eastAsia="es-ES"/>
        </w:rPr>
        <w:t>del Gobierno Central Presupuestario</w:t>
      </w:r>
      <w:bookmarkEnd w:id="5"/>
    </w:p>
    <w:p w14:paraId="27F759C0" w14:textId="77777777" w:rsidR="00E66A98" w:rsidRPr="00DB556E" w:rsidRDefault="00DB2C33" w:rsidP="002C3755">
      <w:pPr>
        <w:rPr>
          <w:rFonts w:eastAsiaTheme="majorEastAsia"/>
          <w:lang w:val="es-ES_tradnl"/>
        </w:rPr>
      </w:pPr>
      <w:r w:rsidRPr="00DB556E">
        <w:rPr>
          <w:rFonts w:eastAsiaTheme="majorEastAsia"/>
          <w:noProof/>
          <w:lang w:eastAsia="es-GT"/>
        </w:rPr>
        <w:drawing>
          <wp:inline distT="0" distB="0" distL="0" distR="0" wp14:anchorId="2394B235" wp14:editId="45E3F372">
            <wp:extent cx="5836920" cy="876300"/>
            <wp:effectExtent l="76200" t="38100" r="87630" b="13335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Start w:id="6" w:name="_Toc471986924"/>
      <w:bookmarkStart w:id="7" w:name="_Toc471987059"/>
      <w:bookmarkStart w:id="8" w:name="_Toc471987107"/>
      <w:bookmarkStart w:id="9" w:name="_Toc471987129"/>
      <w:bookmarkStart w:id="10" w:name="_Toc472082158"/>
      <w:bookmarkStart w:id="11" w:name="_Toc472082190"/>
      <w:bookmarkStart w:id="12" w:name="_Toc472089905"/>
      <w:bookmarkStart w:id="13" w:name="_Toc472089928"/>
      <w:bookmarkStart w:id="14" w:name="_Toc505346056"/>
      <w:bookmarkStart w:id="15" w:name="_Toc505349869"/>
      <w:bookmarkStart w:id="16" w:name="_Toc534985827"/>
      <w:bookmarkStart w:id="17" w:name="_Toc534988220"/>
      <w:bookmarkStart w:id="18" w:name="_Toc31611540"/>
      <w:bookmarkStart w:id="19" w:name="_Toc31612756"/>
      <w:bookmarkStart w:id="20" w:name="_Toc31612788"/>
      <w:bookmarkStart w:id="21" w:name="_Toc31614814"/>
      <w:bookmarkStart w:id="22" w:name="_Toc31614846"/>
      <w:bookmarkStart w:id="23" w:name="_Toc31618683"/>
      <w:bookmarkStart w:id="24" w:name="_Toc31618716"/>
      <w:bookmarkStart w:id="25" w:name="_Toc31624492"/>
      <w:bookmarkStart w:id="26" w:name="_Toc31625344"/>
      <w:bookmarkStart w:id="27" w:name="_Toc31626799"/>
      <w:bookmarkStart w:id="28" w:name="_Toc31811250"/>
      <w:bookmarkStart w:id="29" w:name="_Toc31811695"/>
      <w:bookmarkStart w:id="30" w:name="_Toc31971858"/>
      <w:bookmarkStart w:id="31" w:name="_Toc32230880"/>
      <w:bookmarkStart w:id="32" w:name="_Toc33109779"/>
      <w:bookmarkStart w:id="33" w:name="_Toc33109822"/>
      <w:bookmarkStart w:id="34" w:name="_Toc33180543"/>
      <w:bookmarkStart w:id="35" w:name="_Toc33180637"/>
      <w:bookmarkStart w:id="36" w:name="_Toc33193534"/>
      <w:bookmarkStart w:id="37" w:name="_Toc33193573"/>
      <w:bookmarkStart w:id="38" w:name="_Toc33196770"/>
      <w:bookmarkStart w:id="39" w:name="_Toc40691746"/>
      <w:bookmarkStart w:id="40" w:name="_Toc40959149"/>
      <w:bookmarkStart w:id="41" w:name="_Toc40975983"/>
      <w:bookmarkStart w:id="42" w:name="_Toc40976052"/>
      <w:bookmarkStart w:id="43" w:name="_Toc40993307"/>
      <w:bookmarkStart w:id="44" w:name="_Toc40993689"/>
      <w:bookmarkStart w:id="45" w:name="_Toc4103756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573AD0D9" w14:textId="77777777" w:rsidR="00E66A98" w:rsidRPr="00DB556E" w:rsidRDefault="00294F15"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6" w:name="_Toc102477785"/>
      <w:r w:rsidRPr="00DB556E">
        <w:rPr>
          <w:rFonts w:ascii="Times New Roman" w:hAnsi="Times New Roman" w:cs="Times New Roman"/>
          <w:color w:val="auto"/>
          <w:sz w:val="24"/>
        </w:rPr>
        <w:t xml:space="preserve">Los ingresos </w:t>
      </w:r>
      <w:r w:rsidR="00044AF8" w:rsidRPr="00DB556E">
        <w:rPr>
          <w:rFonts w:ascii="Times New Roman" w:hAnsi="Times New Roman" w:cs="Times New Roman"/>
          <w:color w:val="auto"/>
          <w:sz w:val="24"/>
        </w:rPr>
        <w:t xml:space="preserve">totales </w:t>
      </w:r>
      <w:r w:rsidR="000A1BF3" w:rsidRPr="00DB556E">
        <w:rPr>
          <w:rFonts w:ascii="Times New Roman" w:hAnsi="Times New Roman" w:cs="Times New Roman"/>
          <w:color w:val="auto"/>
          <w:sz w:val="24"/>
        </w:rPr>
        <w:t xml:space="preserve">continúan </w:t>
      </w:r>
      <w:r w:rsidR="00545E12" w:rsidRPr="00DB556E">
        <w:rPr>
          <w:rFonts w:ascii="Times New Roman" w:hAnsi="Times New Roman" w:cs="Times New Roman"/>
          <w:color w:val="auto"/>
          <w:sz w:val="24"/>
        </w:rPr>
        <w:t>con su buen dinamismo</w:t>
      </w:r>
      <w:bookmarkEnd w:id="46"/>
    </w:p>
    <w:p w14:paraId="066AF438" w14:textId="77777777" w:rsidR="005D0658" w:rsidRPr="00DB556E" w:rsidRDefault="00B42371" w:rsidP="00CD34D6">
      <w:pPr>
        <w:rPr>
          <w:rFonts w:cs="Times New Roman"/>
          <w:szCs w:val="22"/>
        </w:rPr>
      </w:pPr>
      <w:r w:rsidRPr="00DB556E">
        <w:rPr>
          <w:rFonts w:cs="Times New Roman"/>
          <w:noProof/>
          <w:sz w:val="24"/>
          <w:lang w:eastAsia="es-GT"/>
        </w:rPr>
        <w:drawing>
          <wp:anchor distT="0" distB="0" distL="114300" distR="114300" simplePos="0" relativeHeight="251660292" behindDoc="0" locked="0" layoutInCell="1" allowOverlap="1" wp14:anchorId="0E488811" wp14:editId="7046A2A3">
            <wp:simplePos x="0" y="0"/>
            <wp:positionH relativeFrom="column">
              <wp:posOffset>3195320</wp:posOffset>
            </wp:positionH>
            <wp:positionV relativeFrom="paragraph">
              <wp:posOffset>9525</wp:posOffset>
            </wp:positionV>
            <wp:extent cx="2820670" cy="2495550"/>
            <wp:effectExtent l="0" t="0" r="0" b="0"/>
            <wp:wrapSquare wrapText="bothSides"/>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4A7D27" w:rsidRPr="00DB556E">
        <w:rPr>
          <w:rFonts w:cs="Times New Roman"/>
          <w:szCs w:val="22"/>
        </w:rPr>
        <w:t xml:space="preserve">Los ingresos totales </w:t>
      </w:r>
      <w:r w:rsidR="00013ECF" w:rsidRPr="00DB556E">
        <w:rPr>
          <w:rFonts w:cs="Times New Roman"/>
          <w:szCs w:val="22"/>
        </w:rPr>
        <w:t>al finalizar el primer t</w:t>
      </w:r>
      <w:r w:rsidR="0039545B" w:rsidRPr="00DB556E">
        <w:rPr>
          <w:rFonts w:cs="Times New Roman"/>
          <w:szCs w:val="22"/>
        </w:rPr>
        <w:t xml:space="preserve">rimestre del 2022 </w:t>
      </w:r>
      <w:r w:rsidR="00122981" w:rsidRPr="00DB556E">
        <w:rPr>
          <w:rFonts w:cs="Times New Roman"/>
          <w:szCs w:val="22"/>
        </w:rPr>
        <w:t>continúan mostrando</w:t>
      </w:r>
      <w:r w:rsidR="0039545B" w:rsidRPr="00DB556E">
        <w:rPr>
          <w:rFonts w:cs="Times New Roman"/>
          <w:szCs w:val="22"/>
        </w:rPr>
        <w:t xml:space="preserve"> </w:t>
      </w:r>
      <w:r w:rsidR="00D961D8" w:rsidRPr="00DB556E">
        <w:rPr>
          <w:rFonts w:cs="Times New Roman"/>
          <w:szCs w:val="22"/>
        </w:rPr>
        <w:t>el</w:t>
      </w:r>
      <w:r w:rsidR="0039545B" w:rsidRPr="00DB556E">
        <w:rPr>
          <w:rFonts w:cs="Times New Roman"/>
          <w:szCs w:val="22"/>
        </w:rPr>
        <w:t xml:space="preserve"> buen dinamismo</w:t>
      </w:r>
      <w:r w:rsidR="00122981" w:rsidRPr="00DB556E">
        <w:rPr>
          <w:rFonts w:cs="Times New Roman"/>
          <w:szCs w:val="22"/>
        </w:rPr>
        <w:t xml:space="preserve"> que se </w:t>
      </w:r>
      <w:r w:rsidR="00C9397E" w:rsidRPr="00DB556E">
        <w:rPr>
          <w:rFonts w:cs="Times New Roman"/>
          <w:szCs w:val="22"/>
        </w:rPr>
        <w:t>venía observando</w:t>
      </w:r>
      <w:r w:rsidR="00105C3B" w:rsidRPr="00DB556E">
        <w:rPr>
          <w:rFonts w:cs="Times New Roman"/>
          <w:szCs w:val="22"/>
        </w:rPr>
        <w:t xml:space="preserve"> </w:t>
      </w:r>
      <w:r w:rsidR="00B93B3C" w:rsidRPr="00DB556E">
        <w:rPr>
          <w:rFonts w:cs="Times New Roman"/>
          <w:szCs w:val="22"/>
        </w:rPr>
        <w:t>en los últimos meses de</w:t>
      </w:r>
      <w:r w:rsidR="00105C3B" w:rsidRPr="00DB556E">
        <w:rPr>
          <w:rFonts w:cs="Times New Roman"/>
          <w:szCs w:val="22"/>
        </w:rPr>
        <w:t xml:space="preserve">l año anterior. </w:t>
      </w:r>
      <w:r w:rsidR="00917070" w:rsidRPr="00DB556E">
        <w:rPr>
          <w:rFonts w:cs="Times New Roman"/>
          <w:szCs w:val="22"/>
        </w:rPr>
        <w:t>Estos</w:t>
      </w:r>
      <w:r w:rsidR="0039545B" w:rsidRPr="00DB556E">
        <w:rPr>
          <w:rFonts w:cs="Times New Roman"/>
          <w:szCs w:val="22"/>
        </w:rPr>
        <w:t xml:space="preserve"> </w:t>
      </w:r>
      <w:r w:rsidR="00917070" w:rsidRPr="00DB556E">
        <w:rPr>
          <w:rFonts w:cs="Times New Roman"/>
          <w:szCs w:val="22"/>
        </w:rPr>
        <w:t>se sitúan</w:t>
      </w:r>
      <w:r w:rsidR="0039545B" w:rsidRPr="00DB556E">
        <w:rPr>
          <w:rFonts w:cs="Times New Roman"/>
          <w:szCs w:val="22"/>
        </w:rPr>
        <w:t xml:space="preserve"> </w:t>
      </w:r>
      <w:r w:rsidR="00917070" w:rsidRPr="00DB556E">
        <w:rPr>
          <w:rFonts w:cs="Times New Roman"/>
          <w:szCs w:val="22"/>
        </w:rPr>
        <w:t>a marzo</w:t>
      </w:r>
      <w:r w:rsidR="00B93B3C" w:rsidRPr="00DB556E">
        <w:rPr>
          <w:rFonts w:cs="Times New Roman"/>
          <w:szCs w:val="22"/>
        </w:rPr>
        <w:t xml:space="preserve"> de este año</w:t>
      </w:r>
      <w:r w:rsidR="00917070" w:rsidRPr="00DB556E">
        <w:rPr>
          <w:rFonts w:cs="Times New Roman"/>
          <w:szCs w:val="22"/>
        </w:rPr>
        <w:t xml:space="preserve"> </w:t>
      </w:r>
      <w:r w:rsidR="0039545B" w:rsidRPr="00DB556E">
        <w:rPr>
          <w:rFonts w:cs="Times New Roman"/>
          <w:szCs w:val="22"/>
        </w:rPr>
        <w:t xml:space="preserve">en </w:t>
      </w:r>
      <w:r w:rsidR="00C22139" w:rsidRPr="00DB556E">
        <w:rPr>
          <w:rFonts w:cs="Times New Roman"/>
          <w:szCs w:val="22"/>
        </w:rPr>
        <w:t>Q22,252.2 millones,</w:t>
      </w:r>
      <w:r w:rsidR="0026147D" w:rsidRPr="00DB556E">
        <w:rPr>
          <w:rFonts w:cs="Times New Roman"/>
          <w:szCs w:val="22"/>
        </w:rPr>
        <w:t xml:space="preserve"> siendo este un crecimiento del 14.9%</w:t>
      </w:r>
      <w:r w:rsidR="00284EEB" w:rsidRPr="00DB556E">
        <w:rPr>
          <w:rFonts w:cs="Times New Roman"/>
          <w:szCs w:val="22"/>
        </w:rPr>
        <w:t xml:space="preserve"> (Q2,888.3 millones)</w:t>
      </w:r>
      <w:r w:rsidR="0026147D" w:rsidRPr="00DB556E">
        <w:rPr>
          <w:rFonts w:cs="Times New Roman"/>
          <w:szCs w:val="22"/>
        </w:rPr>
        <w:t xml:space="preserve"> respecto al mismo periodo del año previo</w:t>
      </w:r>
      <w:r w:rsidR="00917070" w:rsidRPr="00DB556E">
        <w:rPr>
          <w:rFonts w:cs="Times New Roman"/>
          <w:szCs w:val="22"/>
        </w:rPr>
        <w:t xml:space="preserve"> </w:t>
      </w:r>
      <w:r w:rsidR="008663E4" w:rsidRPr="00DB556E">
        <w:rPr>
          <w:rFonts w:cs="Times New Roman"/>
          <w:szCs w:val="22"/>
        </w:rPr>
        <w:t xml:space="preserve">los cuales habían </w:t>
      </w:r>
      <w:r w:rsidR="0016015D" w:rsidRPr="00DB556E">
        <w:rPr>
          <w:rFonts w:cs="Times New Roman"/>
          <w:szCs w:val="22"/>
        </w:rPr>
        <w:t>sido de</w:t>
      </w:r>
      <w:r w:rsidR="00917070" w:rsidRPr="00DB556E">
        <w:rPr>
          <w:rFonts w:cs="Times New Roman"/>
          <w:szCs w:val="22"/>
        </w:rPr>
        <w:t xml:space="preserve"> </w:t>
      </w:r>
      <w:r w:rsidR="00200099" w:rsidRPr="00DB556E">
        <w:rPr>
          <w:rFonts w:cs="Times New Roman"/>
          <w:szCs w:val="22"/>
        </w:rPr>
        <w:t>Q1</w:t>
      </w:r>
      <w:r w:rsidR="00B43CB7" w:rsidRPr="00DB556E">
        <w:rPr>
          <w:rFonts w:cs="Times New Roman"/>
          <w:szCs w:val="22"/>
        </w:rPr>
        <w:t>9,363.8 millones</w:t>
      </w:r>
      <w:r w:rsidR="00D57E1A" w:rsidRPr="00DB556E">
        <w:rPr>
          <w:rFonts w:cs="Times New Roman"/>
          <w:szCs w:val="22"/>
        </w:rPr>
        <w:t>.</w:t>
      </w:r>
    </w:p>
    <w:p w14:paraId="5027C496" w14:textId="77777777" w:rsidR="005D0658" w:rsidRPr="00DB556E" w:rsidRDefault="005D0658" w:rsidP="00CD34D6">
      <w:pPr>
        <w:rPr>
          <w:rFonts w:cs="Times New Roman"/>
          <w:szCs w:val="22"/>
        </w:rPr>
      </w:pPr>
    </w:p>
    <w:p w14:paraId="20AD89D5" w14:textId="77777777" w:rsidR="00500A5D" w:rsidRPr="00DB556E" w:rsidRDefault="000E5739" w:rsidP="00CD34D6">
      <w:pPr>
        <w:rPr>
          <w:rFonts w:cs="Times New Roman"/>
          <w:szCs w:val="22"/>
        </w:rPr>
      </w:pPr>
      <w:r w:rsidRPr="00DB556E">
        <w:rPr>
          <w:rFonts w:cs="Times New Roman"/>
          <w:szCs w:val="22"/>
        </w:rPr>
        <w:t xml:space="preserve"> El mayor crecimiento proviene de los impuestos, los cuales</w:t>
      </w:r>
      <w:r w:rsidR="00F236A1" w:rsidRPr="00DB556E">
        <w:rPr>
          <w:rFonts w:cs="Times New Roman"/>
          <w:szCs w:val="22"/>
        </w:rPr>
        <w:t xml:space="preserve"> muestran una variación interanual del 15.9% (</w:t>
      </w:r>
      <w:r w:rsidR="00B43CB7" w:rsidRPr="00DB556E">
        <w:rPr>
          <w:rFonts w:cs="Times New Roman"/>
          <w:szCs w:val="22"/>
        </w:rPr>
        <w:t>Q</w:t>
      </w:r>
      <w:r w:rsidR="00D961D8" w:rsidRPr="00DB556E">
        <w:rPr>
          <w:rFonts w:cs="Times New Roman"/>
          <w:szCs w:val="22"/>
        </w:rPr>
        <w:t>2,806.7 millones)</w:t>
      </w:r>
      <w:r w:rsidR="00C9397E" w:rsidRPr="00DB556E">
        <w:rPr>
          <w:rFonts w:cs="Times New Roman"/>
          <w:szCs w:val="22"/>
        </w:rPr>
        <w:t xml:space="preserve"> seguido de la categoría de otros ingresos con un aumento de </w:t>
      </w:r>
      <w:r w:rsidR="000E4E2E" w:rsidRPr="00DB556E">
        <w:rPr>
          <w:rFonts w:cs="Times New Roman"/>
          <w:szCs w:val="22"/>
        </w:rPr>
        <w:t xml:space="preserve">15.0% (Q83.7 millones) y luego las contribuciones sociales con un incremento de </w:t>
      </w:r>
      <w:r w:rsidR="004960E0" w:rsidRPr="00DB556E">
        <w:rPr>
          <w:rFonts w:cs="Times New Roman"/>
          <w:szCs w:val="22"/>
        </w:rPr>
        <w:t>2.3% (Q26.6 millones)</w:t>
      </w:r>
      <w:r w:rsidR="005D0658" w:rsidRPr="00DB556E">
        <w:rPr>
          <w:rFonts w:cs="Times New Roman"/>
          <w:szCs w:val="22"/>
        </w:rPr>
        <w:t>,</w:t>
      </w:r>
      <w:r w:rsidR="004960E0" w:rsidRPr="00DB556E">
        <w:rPr>
          <w:rFonts w:cs="Times New Roman"/>
          <w:szCs w:val="22"/>
        </w:rPr>
        <w:t xml:space="preserve"> mientras que las donaciones disminuyeron en </w:t>
      </w:r>
      <w:r w:rsidR="008663E4" w:rsidRPr="00DB556E">
        <w:rPr>
          <w:rFonts w:cs="Times New Roman"/>
          <w:szCs w:val="22"/>
        </w:rPr>
        <w:t>87.2% (Q28.7 millones).</w:t>
      </w:r>
    </w:p>
    <w:p w14:paraId="3C8D73F7" w14:textId="77777777" w:rsidR="00D550B4" w:rsidRPr="00DB556E" w:rsidRDefault="00D550B4" w:rsidP="00CD34D6">
      <w:pPr>
        <w:rPr>
          <w:rFonts w:cs="Times New Roman"/>
          <w:szCs w:val="22"/>
        </w:rPr>
      </w:pPr>
      <w:r w:rsidRPr="00DB556E">
        <w:rPr>
          <w:noProof/>
          <w:lang w:eastAsia="es-GT"/>
        </w:rPr>
        <w:drawing>
          <wp:inline distT="0" distB="0" distL="0" distR="0" wp14:anchorId="0B894B39" wp14:editId="01FE6218">
            <wp:extent cx="5971540" cy="17526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A69E6E" w14:textId="77777777" w:rsidR="00D550B4" w:rsidRPr="00DB556E" w:rsidRDefault="00D550B4" w:rsidP="00D550B4">
      <w:pPr>
        <w:pStyle w:val="Prrafodelista"/>
        <w:ind w:left="0"/>
        <w:jc w:val="left"/>
      </w:pPr>
      <w:r w:rsidRPr="00DB556E">
        <w:t>*Cifras preliminares</w:t>
      </w:r>
    </w:p>
    <w:p w14:paraId="28189151" w14:textId="77777777" w:rsidR="00D550B4" w:rsidRPr="00DB556E" w:rsidRDefault="00D550B4" w:rsidP="00D550B4">
      <w:pPr>
        <w:pStyle w:val="Prrafodelista"/>
        <w:ind w:left="0"/>
        <w:jc w:val="left"/>
      </w:pPr>
      <w:r w:rsidRPr="00DB556E">
        <w:t xml:space="preserve"> Fuente: MINFIN</w:t>
      </w:r>
    </w:p>
    <w:p w14:paraId="518BA279" w14:textId="77777777" w:rsidR="00E66A98" w:rsidRPr="00DB556E" w:rsidRDefault="00B50D09" w:rsidP="00EB6D9F">
      <w:pPr>
        <w:pStyle w:val="Ttulo2"/>
        <w:numPr>
          <w:ilvl w:val="1"/>
          <w:numId w:val="11"/>
        </w:numPr>
        <w:tabs>
          <w:tab w:val="left" w:pos="426"/>
        </w:tabs>
        <w:spacing w:before="0"/>
        <w:ind w:left="284" w:hanging="284"/>
        <w:rPr>
          <w:rFonts w:ascii="Times New Roman" w:hAnsi="Times New Roman" w:cs="Times New Roman"/>
          <w:color w:val="auto"/>
          <w:sz w:val="24"/>
        </w:rPr>
      </w:pPr>
      <w:bookmarkStart w:id="47" w:name="_Toc102477786"/>
      <w:r w:rsidRPr="00DB556E">
        <w:rPr>
          <w:noProof/>
          <w:sz w:val="22"/>
          <w:lang w:eastAsia="es-GT"/>
        </w:rPr>
        <w:lastRenderedPageBreak/>
        <w:drawing>
          <wp:anchor distT="0" distB="0" distL="114300" distR="114300" simplePos="0" relativeHeight="251658244" behindDoc="0" locked="0" layoutInCell="1" allowOverlap="1" wp14:anchorId="63261D0C" wp14:editId="77CC01F6">
            <wp:simplePos x="0" y="0"/>
            <wp:positionH relativeFrom="margin">
              <wp:posOffset>3271520</wp:posOffset>
            </wp:positionH>
            <wp:positionV relativeFrom="paragraph">
              <wp:posOffset>252095</wp:posOffset>
            </wp:positionV>
            <wp:extent cx="2693670" cy="5981700"/>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27790A" w:rsidRPr="00DB556E">
        <w:rPr>
          <w:rFonts w:ascii="Times New Roman" w:hAnsi="Times New Roman" w:cs="Times New Roman"/>
          <w:color w:val="auto"/>
          <w:sz w:val="24"/>
        </w:rPr>
        <w:t xml:space="preserve">Los </w:t>
      </w:r>
      <w:r w:rsidR="00962437" w:rsidRPr="00DB556E">
        <w:rPr>
          <w:rFonts w:ascii="Times New Roman" w:hAnsi="Times New Roman" w:cs="Times New Roman"/>
          <w:color w:val="auto"/>
          <w:sz w:val="24"/>
        </w:rPr>
        <w:t>i</w:t>
      </w:r>
      <w:r w:rsidR="0027790A" w:rsidRPr="00DB556E">
        <w:rPr>
          <w:rFonts w:ascii="Times New Roman" w:hAnsi="Times New Roman" w:cs="Times New Roman"/>
          <w:color w:val="auto"/>
          <w:sz w:val="24"/>
        </w:rPr>
        <w:t xml:space="preserve">mpuestos </w:t>
      </w:r>
      <w:r w:rsidR="00545E12" w:rsidRPr="00DB556E">
        <w:rPr>
          <w:rFonts w:ascii="Times New Roman" w:hAnsi="Times New Roman" w:cs="Times New Roman"/>
          <w:color w:val="auto"/>
          <w:sz w:val="24"/>
        </w:rPr>
        <w:t>muestran un buen desempeño</w:t>
      </w:r>
      <w:bookmarkEnd w:id="47"/>
    </w:p>
    <w:p w14:paraId="74E4D1D2" w14:textId="064ECBD7" w:rsidR="00273108" w:rsidRPr="00DB556E" w:rsidRDefault="0016015D" w:rsidP="00B304F3">
      <w:pPr>
        <w:pStyle w:val="Prrafodelista"/>
        <w:ind w:left="0"/>
        <w:rPr>
          <w:sz w:val="22"/>
        </w:rPr>
      </w:pPr>
      <w:r w:rsidRPr="00DB556E">
        <w:rPr>
          <w:sz w:val="22"/>
        </w:rPr>
        <w:t xml:space="preserve">Los impuestos se sitúan </w:t>
      </w:r>
      <w:r w:rsidR="00606634" w:rsidRPr="00DB556E">
        <w:rPr>
          <w:sz w:val="22"/>
        </w:rPr>
        <w:t>en Q20,438.0 millones a marzo</w:t>
      </w:r>
      <w:r w:rsidR="00CF709E" w:rsidRPr="00DB556E">
        <w:rPr>
          <w:sz w:val="22"/>
        </w:rPr>
        <w:t xml:space="preserve"> con un incremento interanual del 15.9% (Q2,806.7 millones)</w:t>
      </w:r>
      <w:r w:rsidR="00606634" w:rsidRPr="00DB556E">
        <w:rPr>
          <w:sz w:val="22"/>
        </w:rPr>
        <w:t xml:space="preserve"> </w:t>
      </w:r>
      <w:r w:rsidR="00AA086B" w:rsidRPr="00DB556E">
        <w:rPr>
          <w:sz w:val="22"/>
        </w:rPr>
        <w:t xml:space="preserve">y siendo los impuestos por bienes y </w:t>
      </w:r>
      <w:r w:rsidR="004B2730" w:rsidRPr="00DB556E">
        <w:rPr>
          <w:sz w:val="22"/>
        </w:rPr>
        <w:t>servicios los que han mostrado un mejor desempeño</w:t>
      </w:r>
      <w:r w:rsidR="004124EB" w:rsidRPr="00DB556E">
        <w:rPr>
          <w:sz w:val="22"/>
        </w:rPr>
        <w:t>,</w:t>
      </w:r>
      <w:r w:rsidR="000B20C3" w:rsidRPr="00DB556E">
        <w:rPr>
          <w:sz w:val="22"/>
        </w:rPr>
        <w:t xml:space="preserve"> </w:t>
      </w:r>
      <w:r w:rsidR="005D3B41" w:rsidRPr="00DB556E">
        <w:rPr>
          <w:sz w:val="22"/>
        </w:rPr>
        <w:t>estos ascienden</w:t>
      </w:r>
      <w:r w:rsidR="000B20C3" w:rsidRPr="00DB556E">
        <w:rPr>
          <w:sz w:val="22"/>
        </w:rPr>
        <w:t xml:space="preserve"> a </w:t>
      </w:r>
      <w:r w:rsidR="006971D7" w:rsidRPr="00DB556E">
        <w:rPr>
          <w:sz w:val="22"/>
        </w:rPr>
        <w:t>Q11,889.9 millones</w:t>
      </w:r>
      <w:r w:rsidR="004D6421" w:rsidRPr="00DB556E">
        <w:rPr>
          <w:sz w:val="22"/>
        </w:rPr>
        <w:t>,</w:t>
      </w:r>
      <w:r w:rsidR="006971D7" w:rsidRPr="00DB556E">
        <w:rPr>
          <w:sz w:val="22"/>
        </w:rPr>
        <w:t xml:space="preserve"> </w:t>
      </w:r>
      <w:r w:rsidR="007441AA" w:rsidRPr="00DB556E">
        <w:rPr>
          <w:sz w:val="22"/>
        </w:rPr>
        <w:t>con una variación interanual de 13.7%</w:t>
      </w:r>
      <w:r w:rsidR="00204580" w:rsidRPr="00DB556E">
        <w:rPr>
          <w:sz w:val="22"/>
        </w:rPr>
        <w:t xml:space="preserve"> (Q1,434.5 millones)</w:t>
      </w:r>
      <w:r w:rsidR="00D76D68" w:rsidRPr="00DB556E">
        <w:rPr>
          <w:sz w:val="22"/>
        </w:rPr>
        <w:t xml:space="preserve"> y en esta categoría</w:t>
      </w:r>
      <w:r w:rsidR="00C37E2E" w:rsidRPr="00DB556E">
        <w:rPr>
          <w:sz w:val="22"/>
        </w:rPr>
        <w:t xml:space="preserve"> cabe destacar, se encuentra el </w:t>
      </w:r>
      <w:r w:rsidR="00F21081" w:rsidRPr="00DB556E">
        <w:rPr>
          <w:sz w:val="22"/>
        </w:rPr>
        <w:t>I</w:t>
      </w:r>
      <w:r w:rsidR="00C37E2E" w:rsidRPr="00DB556E">
        <w:rPr>
          <w:sz w:val="22"/>
        </w:rPr>
        <w:t>mpuesto al</w:t>
      </w:r>
      <w:r w:rsidR="00F21081" w:rsidRPr="00DB556E">
        <w:rPr>
          <w:sz w:val="22"/>
        </w:rPr>
        <w:t xml:space="preserve"> V</w:t>
      </w:r>
      <w:r w:rsidR="00C37E2E" w:rsidRPr="00DB556E">
        <w:rPr>
          <w:sz w:val="22"/>
        </w:rPr>
        <w:t xml:space="preserve">alor </w:t>
      </w:r>
      <w:r w:rsidR="00F21081" w:rsidRPr="00DB556E">
        <w:rPr>
          <w:sz w:val="22"/>
        </w:rPr>
        <w:t>A</w:t>
      </w:r>
      <w:r w:rsidR="00C37E2E" w:rsidRPr="00DB556E">
        <w:rPr>
          <w:sz w:val="22"/>
        </w:rPr>
        <w:t>gregado</w:t>
      </w:r>
      <w:r w:rsidR="00557763" w:rsidRPr="00DB556E">
        <w:rPr>
          <w:sz w:val="22"/>
        </w:rPr>
        <w:t>, siendo</w:t>
      </w:r>
      <w:r w:rsidR="00D76D68" w:rsidRPr="00DB556E">
        <w:rPr>
          <w:sz w:val="22"/>
        </w:rPr>
        <w:t xml:space="preserve"> el </w:t>
      </w:r>
      <w:r w:rsidR="00C37E2E" w:rsidRPr="00DB556E">
        <w:rPr>
          <w:sz w:val="22"/>
        </w:rPr>
        <w:t>más</w:t>
      </w:r>
      <w:r w:rsidR="00D76D68" w:rsidRPr="00DB556E">
        <w:rPr>
          <w:sz w:val="22"/>
        </w:rPr>
        <w:t xml:space="preserve"> importante e</w:t>
      </w:r>
      <w:r w:rsidR="00557763" w:rsidRPr="00DB556E">
        <w:rPr>
          <w:sz w:val="22"/>
        </w:rPr>
        <w:t>ntre todos los impuestos con una recaudación acumulada de Q</w:t>
      </w:r>
      <w:r w:rsidR="0050785E" w:rsidRPr="00DB556E">
        <w:rPr>
          <w:sz w:val="22"/>
        </w:rPr>
        <w:t>9,896.9 millones y un incremento de 16.7% (Q1,415.2 millones)</w:t>
      </w:r>
      <w:r w:rsidR="00E87208" w:rsidRPr="00DB556E">
        <w:rPr>
          <w:sz w:val="22"/>
        </w:rPr>
        <w:t xml:space="preserve">. </w:t>
      </w:r>
    </w:p>
    <w:p w14:paraId="09526BA4" w14:textId="77777777" w:rsidR="00343A1D" w:rsidRPr="00DB556E" w:rsidRDefault="00343A1D" w:rsidP="00B304F3">
      <w:pPr>
        <w:pStyle w:val="Prrafodelista"/>
        <w:ind w:left="0"/>
        <w:rPr>
          <w:sz w:val="22"/>
        </w:rPr>
      </w:pPr>
    </w:p>
    <w:p w14:paraId="39F819EB" w14:textId="0E0FD19A" w:rsidR="00A15AEB" w:rsidRPr="00DB556E" w:rsidRDefault="000F7C74" w:rsidP="00F55D61">
      <w:r w:rsidRPr="00DB556E">
        <w:t>L</w:t>
      </w:r>
      <w:r w:rsidR="007F2F65" w:rsidRPr="00DB556E">
        <w:t>os impuestos sob</w:t>
      </w:r>
      <w:r w:rsidR="006166E9" w:rsidRPr="00DB556E">
        <w:t>r</w:t>
      </w:r>
      <w:r w:rsidR="007F2F65" w:rsidRPr="00DB556E">
        <w:t xml:space="preserve">e </w:t>
      </w:r>
      <w:r w:rsidR="00D91306" w:rsidRPr="00DB556E">
        <w:t xml:space="preserve">los </w:t>
      </w:r>
      <w:r w:rsidR="007F2F65" w:rsidRPr="00DB556E">
        <w:t>ingreso</w:t>
      </w:r>
      <w:r w:rsidR="00D91306" w:rsidRPr="00DB556E">
        <w:t>s</w:t>
      </w:r>
      <w:r w:rsidR="007F2F65" w:rsidRPr="00DB556E">
        <w:t>, las utilidades y las ganancias de capital</w:t>
      </w:r>
      <w:r w:rsidRPr="00DB556E">
        <w:t xml:space="preserve"> </w:t>
      </w:r>
      <w:r w:rsidR="00D91306" w:rsidRPr="00DB556E">
        <w:t xml:space="preserve">alcanzaron los </w:t>
      </w:r>
      <w:r w:rsidR="001F5A10" w:rsidRPr="00DB556E">
        <w:t>Q</w:t>
      </w:r>
      <w:r w:rsidR="007570EA" w:rsidRPr="00DB556E">
        <w:t>7,433.4</w:t>
      </w:r>
      <w:r w:rsidR="001F5A10" w:rsidRPr="00DB556E">
        <w:t xml:space="preserve"> millones</w:t>
      </w:r>
      <w:r w:rsidR="007570EA" w:rsidRPr="00DB556E">
        <w:t xml:space="preserve">, mostrando </w:t>
      </w:r>
      <w:r w:rsidR="0028513C" w:rsidRPr="00DB556E">
        <w:t xml:space="preserve">crecimiento interanual de </w:t>
      </w:r>
      <w:r w:rsidR="007570EA" w:rsidRPr="00DB556E">
        <w:t xml:space="preserve">18.5% </w:t>
      </w:r>
      <w:r w:rsidR="00F02A14" w:rsidRPr="00DB556E">
        <w:t>(Q</w:t>
      </w:r>
      <w:r w:rsidR="00074844" w:rsidRPr="00DB556E">
        <w:t>1,162.0</w:t>
      </w:r>
      <w:r w:rsidR="00443756" w:rsidRPr="00DB556E">
        <w:t xml:space="preserve"> </w:t>
      </w:r>
      <w:r w:rsidR="00F02A14" w:rsidRPr="00DB556E">
        <w:t>millones</w:t>
      </w:r>
      <w:r w:rsidR="006166E9" w:rsidRPr="00DB556E">
        <w:t>)</w:t>
      </w:r>
      <w:r w:rsidR="00406104" w:rsidRPr="00DB556E">
        <w:t xml:space="preserve">, </w:t>
      </w:r>
      <w:r w:rsidR="00DA01B3" w:rsidRPr="00DB556E">
        <w:t xml:space="preserve">de </w:t>
      </w:r>
      <w:r w:rsidR="00A54245" w:rsidRPr="00DB556E">
        <w:t xml:space="preserve">los cuales </w:t>
      </w:r>
      <w:r w:rsidR="00302799" w:rsidRPr="00DB556E">
        <w:t xml:space="preserve">el impuesto </w:t>
      </w:r>
      <w:r w:rsidR="0041677B" w:rsidRPr="00DB556E">
        <w:t>proveniente</w:t>
      </w:r>
      <w:r w:rsidR="00302799" w:rsidRPr="00DB556E">
        <w:t xml:space="preserve"> </w:t>
      </w:r>
      <w:r w:rsidR="00C67281" w:rsidRPr="00DB556E">
        <w:t xml:space="preserve">de </w:t>
      </w:r>
      <w:r w:rsidR="00302799" w:rsidRPr="00DB556E">
        <w:t>sociedades y otras empresas</w:t>
      </w:r>
      <w:r w:rsidR="00A162E9" w:rsidRPr="00DB556E">
        <w:t xml:space="preserve"> </w:t>
      </w:r>
      <w:r w:rsidR="00074844" w:rsidRPr="00DB556E">
        <w:t>se encuentran entorno a los</w:t>
      </w:r>
      <w:r w:rsidR="005979A4" w:rsidRPr="00DB556E">
        <w:t xml:space="preserve"> Q6,482.8 millones</w:t>
      </w:r>
      <w:r w:rsidR="008B697F" w:rsidRPr="00DB556E">
        <w:t>,</w:t>
      </w:r>
      <w:r w:rsidR="005979A4" w:rsidRPr="00DB556E">
        <w:t xml:space="preserve"> con </w:t>
      </w:r>
      <w:r w:rsidR="00302799" w:rsidRPr="00DB556E">
        <w:t xml:space="preserve">una variación interanual </w:t>
      </w:r>
      <w:r w:rsidR="00E92E38" w:rsidRPr="00DB556E">
        <w:t xml:space="preserve">18.3% </w:t>
      </w:r>
      <w:r w:rsidR="000D2CF4" w:rsidRPr="00DB556E">
        <w:t>(</w:t>
      </w:r>
      <w:r w:rsidR="00EE1921" w:rsidRPr="00DB556E">
        <w:t>Q</w:t>
      </w:r>
      <w:r w:rsidR="00E92E38" w:rsidRPr="00DB556E">
        <w:t>1</w:t>
      </w:r>
      <w:r w:rsidR="00E403F0" w:rsidRPr="00DB556E">
        <w:t>,</w:t>
      </w:r>
      <w:r w:rsidR="00E92E38" w:rsidRPr="00DB556E">
        <w:t>001</w:t>
      </w:r>
      <w:r w:rsidR="00E403F0" w:rsidRPr="00DB556E">
        <w:t>.</w:t>
      </w:r>
      <w:r w:rsidR="00E92E38" w:rsidRPr="00DB556E">
        <w:t>3</w:t>
      </w:r>
      <w:r w:rsidR="00EE1921" w:rsidRPr="00DB556E">
        <w:t xml:space="preserve"> millones</w:t>
      </w:r>
      <w:r w:rsidR="00E0519B" w:rsidRPr="00DB556E">
        <w:t>)</w:t>
      </w:r>
      <w:r w:rsidR="00CE53F2" w:rsidRPr="00DB556E">
        <w:t xml:space="preserve"> </w:t>
      </w:r>
      <w:r w:rsidR="00E92E38" w:rsidRPr="00DB556E">
        <w:t>mientras que los</w:t>
      </w:r>
      <w:r w:rsidR="00CE53F2" w:rsidRPr="00DB556E">
        <w:t xml:space="preserve"> pagaderos por personas físicas </w:t>
      </w:r>
      <w:r w:rsidR="00BF268E" w:rsidRPr="00DB556E">
        <w:t xml:space="preserve">ascienden a Q950.7 millones con un aumento </w:t>
      </w:r>
      <w:r w:rsidR="00A37985" w:rsidRPr="00DB556E">
        <w:t>de</w:t>
      </w:r>
      <w:r w:rsidR="00CE53F2" w:rsidRPr="00DB556E">
        <w:t xml:space="preserve"> </w:t>
      </w:r>
      <w:r w:rsidR="00A37985" w:rsidRPr="00DB556E">
        <w:t>20.3</w:t>
      </w:r>
      <w:r w:rsidR="00F651B3" w:rsidRPr="00DB556E">
        <w:t>% (</w:t>
      </w:r>
      <w:r w:rsidR="0014747D" w:rsidRPr="00DB556E">
        <w:t>Q</w:t>
      </w:r>
      <w:r w:rsidR="00A37985" w:rsidRPr="00DB556E">
        <w:t>16</w:t>
      </w:r>
      <w:r w:rsidR="00E403F0" w:rsidRPr="00DB556E">
        <w:t>0.</w:t>
      </w:r>
      <w:r w:rsidR="00A37985" w:rsidRPr="00DB556E">
        <w:t>7</w:t>
      </w:r>
      <w:r w:rsidR="00F651B3" w:rsidRPr="00DB556E">
        <w:t xml:space="preserve"> millones)</w:t>
      </w:r>
      <w:r w:rsidR="00A37985" w:rsidRPr="00DB556E">
        <w:t xml:space="preserve"> respecto al mismo periodo del año previo</w:t>
      </w:r>
      <w:r w:rsidR="00EE1921" w:rsidRPr="00DB556E">
        <w:t>.</w:t>
      </w:r>
    </w:p>
    <w:p w14:paraId="7E070DB5" w14:textId="77777777" w:rsidR="009D7455" w:rsidRPr="00DB556E" w:rsidRDefault="009D7455" w:rsidP="00F55D61"/>
    <w:p w14:paraId="6FA5C193" w14:textId="6D0DE886" w:rsidR="00DC178E" w:rsidRPr="00DB556E" w:rsidRDefault="00FD07D3" w:rsidP="006B682E">
      <w:r w:rsidRPr="00DB556E">
        <w:t>Por su parte</w:t>
      </w:r>
      <w:r w:rsidR="008B697F" w:rsidRPr="00DB556E">
        <w:t>,</w:t>
      </w:r>
      <w:r w:rsidRPr="00DB556E">
        <w:t xml:space="preserve"> </w:t>
      </w:r>
      <w:r w:rsidR="00AD6572" w:rsidRPr="00DB556E">
        <w:t>el</w:t>
      </w:r>
      <w:r w:rsidRPr="00DB556E">
        <w:t xml:space="preserve"> impuesto </w:t>
      </w:r>
      <w:r w:rsidR="00DA24D1" w:rsidRPr="00DB556E">
        <w:t>sobre el</w:t>
      </w:r>
      <w:r w:rsidR="00AD6572" w:rsidRPr="00DB556E">
        <w:t xml:space="preserve"> comercio y las transacciones internacionales</w:t>
      </w:r>
      <w:r w:rsidR="00DA24D1" w:rsidRPr="00DB556E">
        <w:t xml:space="preserve"> se sitúa en los Q 957.2 millones</w:t>
      </w:r>
      <w:r w:rsidR="008B697F" w:rsidRPr="00DB556E">
        <w:t>,</w:t>
      </w:r>
      <w:r w:rsidR="003A14EF" w:rsidRPr="00DB556E">
        <w:t xml:space="preserve"> </w:t>
      </w:r>
      <w:r w:rsidR="004D022B" w:rsidRPr="00DB556E">
        <w:t>con un crecimiento d</w:t>
      </w:r>
      <w:r w:rsidR="00B54633" w:rsidRPr="00DB556E">
        <w:t xml:space="preserve">e </w:t>
      </w:r>
      <w:r w:rsidR="00EB564D" w:rsidRPr="00DB556E">
        <w:t>24.0</w:t>
      </w:r>
      <w:r w:rsidR="008035D0" w:rsidRPr="00DB556E">
        <w:t>% (Q</w:t>
      </w:r>
      <w:r w:rsidR="00EB564D" w:rsidRPr="00DB556E">
        <w:t>185.1</w:t>
      </w:r>
      <w:r w:rsidR="008035D0" w:rsidRPr="00DB556E">
        <w:t xml:space="preserve"> millones)</w:t>
      </w:r>
      <w:r w:rsidR="00CA5924" w:rsidRPr="00DB556E">
        <w:t xml:space="preserve"> </w:t>
      </w:r>
      <w:r w:rsidR="00324F54" w:rsidRPr="00DB556E">
        <w:t xml:space="preserve">y siendo </w:t>
      </w:r>
      <w:r w:rsidR="00EB564D" w:rsidRPr="00DB556E">
        <w:t xml:space="preserve">los más importantes en esta categoría, </w:t>
      </w:r>
      <w:r w:rsidR="00324F54" w:rsidRPr="00DB556E">
        <w:t xml:space="preserve">los </w:t>
      </w:r>
      <w:r w:rsidR="00DC178E" w:rsidRPr="00DB556E">
        <w:t>derechos de aduanas y otros derechos</w:t>
      </w:r>
      <w:r w:rsidR="003455A3" w:rsidRPr="00DB556E">
        <w:t xml:space="preserve"> </w:t>
      </w:r>
      <w:r w:rsidR="00DC178E" w:rsidRPr="00DB556E">
        <w:t xml:space="preserve">de </w:t>
      </w:r>
      <w:r w:rsidR="0019663D" w:rsidRPr="00DB556E">
        <w:t xml:space="preserve">importación </w:t>
      </w:r>
      <w:r w:rsidR="002647BF" w:rsidRPr="00DB556E">
        <w:t>(</w:t>
      </w:r>
      <w:r w:rsidR="0019663D" w:rsidRPr="00DB556E">
        <w:t>que</w:t>
      </w:r>
      <w:r w:rsidR="0042579B" w:rsidRPr="00DB556E">
        <w:t xml:space="preserve"> </w:t>
      </w:r>
      <w:r w:rsidR="00E0491A" w:rsidRPr="00DB556E">
        <w:t xml:space="preserve">contiene </w:t>
      </w:r>
      <w:r w:rsidR="0042579B" w:rsidRPr="00DB556E">
        <w:t>al</w:t>
      </w:r>
      <w:r w:rsidR="00E0491A" w:rsidRPr="00DB556E">
        <w:t xml:space="preserve"> </w:t>
      </w:r>
      <w:r w:rsidR="00E753D2" w:rsidRPr="00DB556E">
        <w:t>DAI</w:t>
      </w:r>
      <w:r w:rsidR="002647BF" w:rsidRPr="00DB556E">
        <w:t>)</w:t>
      </w:r>
      <w:r w:rsidR="001C2DA4" w:rsidRPr="00DB556E">
        <w:t xml:space="preserve">, el cual sitúa </w:t>
      </w:r>
      <w:r w:rsidR="000C18E5" w:rsidRPr="00DB556E">
        <w:t>en torno</w:t>
      </w:r>
      <w:r w:rsidR="001C2DA4" w:rsidRPr="00DB556E">
        <w:t xml:space="preserve"> a Q885.1 millones recaudados y teniendo </w:t>
      </w:r>
      <w:r w:rsidR="00E952C7" w:rsidRPr="00DB556E">
        <w:t>una tasa</w:t>
      </w:r>
      <w:r w:rsidR="001C2DA4" w:rsidRPr="00DB556E">
        <w:t xml:space="preserve"> de crecimiento interanual de </w:t>
      </w:r>
      <w:r w:rsidR="000C18E5" w:rsidRPr="00DB556E">
        <w:t>19.6% (Q144.9 millones)</w:t>
      </w:r>
      <w:r w:rsidR="009E74F4" w:rsidRPr="00DB556E">
        <w:t xml:space="preserve">. </w:t>
      </w:r>
    </w:p>
    <w:p w14:paraId="4500291A" w14:textId="77777777" w:rsidR="00DC178E" w:rsidRPr="00DB556E" w:rsidRDefault="00DC178E" w:rsidP="006B682E"/>
    <w:p w14:paraId="3235984C" w14:textId="77777777" w:rsidR="00477C22" w:rsidRPr="00DB556E" w:rsidRDefault="00F4416B" w:rsidP="006B682E">
      <w:r w:rsidRPr="00DB556E">
        <w:t>La categoría de Otros impuestos recaudó</w:t>
      </w:r>
      <w:r w:rsidR="002F6936" w:rsidRPr="00DB556E">
        <w:t xml:space="preserve"> </w:t>
      </w:r>
      <w:r w:rsidRPr="00DB556E">
        <w:t xml:space="preserve">en el primer trimestre </w:t>
      </w:r>
      <w:r w:rsidR="0014747D" w:rsidRPr="00DB556E">
        <w:t>Q</w:t>
      </w:r>
      <w:r w:rsidRPr="00DB556E">
        <w:t>146</w:t>
      </w:r>
      <w:r w:rsidR="002F6936" w:rsidRPr="00DB556E">
        <w:t>.</w:t>
      </w:r>
      <w:r w:rsidRPr="00DB556E">
        <w:t>8</w:t>
      </w:r>
      <w:r w:rsidR="00E602E2" w:rsidRPr="00DB556E">
        <w:t xml:space="preserve"> millones con una variación interanual de </w:t>
      </w:r>
      <w:r w:rsidR="00305645" w:rsidRPr="00DB556E">
        <w:t>16</w:t>
      </w:r>
      <w:r w:rsidR="002F6936" w:rsidRPr="00DB556E">
        <w:t>.4</w:t>
      </w:r>
      <w:r w:rsidR="00E602E2" w:rsidRPr="00DB556E">
        <w:t>% (Q</w:t>
      </w:r>
      <w:r w:rsidR="00305645" w:rsidRPr="00DB556E">
        <w:t>20.7</w:t>
      </w:r>
      <w:r w:rsidR="002E350E" w:rsidRPr="00DB556E">
        <w:t xml:space="preserve"> </w:t>
      </w:r>
      <w:r w:rsidR="004C1ECC" w:rsidRPr="00DB556E">
        <w:t>millones) mientras</w:t>
      </w:r>
      <w:r w:rsidR="00305645" w:rsidRPr="00DB556E">
        <w:t xml:space="preserve"> que </w:t>
      </w:r>
      <w:r w:rsidR="00477C22" w:rsidRPr="00DB556E">
        <w:t xml:space="preserve">los impuestos </w:t>
      </w:r>
      <w:r w:rsidR="00066095" w:rsidRPr="00DB556E">
        <w:t>sobre la propiedad</w:t>
      </w:r>
      <w:r w:rsidR="00D20A4A" w:rsidRPr="00DB556E">
        <w:t xml:space="preserve"> </w:t>
      </w:r>
      <w:r w:rsidR="004C1ECC" w:rsidRPr="00DB556E">
        <w:t>son</w:t>
      </w:r>
      <w:r w:rsidR="0004120F" w:rsidRPr="00DB556E">
        <w:t xml:space="preserve"> </w:t>
      </w:r>
      <w:r w:rsidR="004C1ECC" w:rsidRPr="00DB556E">
        <w:t xml:space="preserve">de </w:t>
      </w:r>
      <w:r w:rsidR="0004120F" w:rsidRPr="00DB556E">
        <w:t>Q</w:t>
      </w:r>
      <w:r w:rsidR="004C1ECC" w:rsidRPr="00DB556E">
        <w:t>10.8</w:t>
      </w:r>
      <w:r w:rsidR="00D20A4A" w:rsidRPr="00DB556E">
        <w:t xml:space="preserve"> millones con una variación de </w:t>
      </w:r>
      <w:r w:rsidR="003A75FE" w:rsidRPr="00DB556E">
        <w:t>67.6</w:t>
      </w:r>
      <w:r w:rsidR="002453DC" w:rsidRPr="00DB556E">
        <w:t xml:space="preserve">% </w:t>
      </w:r>
      <w:r w:rsidR="00D20A4A" w:rsidRPr="00DB556E">
        <w:t>(Q</w:t>
      </w:r>
      <w:r w:rsidR="003A75FE" w:rsidRPr="00DB556E">
        <w:t>4</w:t>
      </w:r>
      <w:r w:rsidR="0013422C" w:rsidRPr="00DB556E">
        <w:t>.</w:t>
      </w:r>
      <w:r w:rsidR="003A75FE" w:rsidRPr="00DB556E">
        <w:t>3</w:t>
      </w:r>
      <w:r w:rsidR="00D20A4A" w:rsidRPr="00DB556E">
        <w:t xml:space="preserve"> millones)</w:t>
      </w:r>
      <w:r w:rsidR="00AA32B8" w:rsidRPr="00DB556E">
        <w:t xml:space="preserve"> respecto al año previo</w:t>
      </w:r>
      <w:r w:rsidR="002E350E" w:rsidRPr="00DB556E">
        <w:t>.</w:t>
      </w:r>
    </w:p>
    <w:p w14:paraId="4D206AE2" w14:textId="77777777" w:rsidR="003A75FE" w:rsidRPr="00DB556E" w:rsidRDefault="003A75FE" w:rsidP="006B682E"/>
    <w:p w14:paraId="6FB140AE" w14:textId="5772DD91" w:rsidR="003A75FE" w:rsidRPr="00DB556E" w:rsidRDefault="00942149" w:rsidP="006B682E">
      <w:r w:rsidRPr="00DB556E">
        <w:t>E</w:t>
      </w:r>
      <w:r w:rsidR="003A75FE" w:rsidRPr="00DB556E">
        <w:t xml:space="preserve">l buen comportamiento que se ha observado en los impuestos </w:t>
      </w:r>
      <w:r w:rsidR="00CB7C93" w:rsidRPr="00DB556E">
        <w:t xml:space="preserve">se </w:t>
      </w:r>
      <w:r w:rsidR="00CF11CE" w:rsidRPr="00DB556E">
        <w:t xml:space="preserve">atribuye </w:t>
      </w:r>
      <w:r w:rsidR="00FA25F7" w:rsidRPr="00DB556E">
        <w:t>a</w:t>
      </w:r>
      <w:r w:rsidR="00002881" w:rsidRPr="00DB556E">
        <w:t xml:space="preserve"> </w:t>
      </w:r>
      <w:r w:rsidR="00E72C2E" w:rsidRPr="00DB556E">
        <w:t>un efecto</w:t>
      </w:r>
      <w:r w:rsidR="00CF11CE" w:rsidRPr="00DB556E">
        <w:t xml:space="preserve"> por el </w:t>
      </w:r>
      <w:r w:rsidR="00BC50CA" w:rsidRPr="00DB556E">
        <w:t>comercio exterior</w:t>
      </w:r>
      <w:r w:rsidR="00396E32" w:rsidRPr="00DB556E">
        <w:t xml:space="preserve"> derivado </w:t>
      </w:r>
      <w:r w:rsidR="00055614" w:rsidRPr="00DB556E">
        <w:t xml:space="preserve">en buena medida </w:t>
      </w:r>
      <w:r w:rsidR="00396E32" w:rsidRPr="00DB556E">
        <w:t xml:space="preserve">del incremento en los precios de los derivados del petróleo y otros </w:t>
      </w:r>
      <w:proofErr w:type="spellStart"/>
      <w:r w:rsidR="00396E32" w:rsidRPr="00DB556E">
        <w:t>commodities</w:t>
      </w:r>
      <w:proofErr w:type="spellEnd"/>
      <w:r w:rsidR="00BC50CA" w:rsidRPr="00DB556E">
        <w:t xml:space="preserve">, </w:t>
      </w:r>
      <w:r w:rsidR="00C77303" w:rsidRPr="00DB556E">
        <w:t xml:space="preserve">así como del buen desempeño de la administración tributaria, principalmente en </w:t>
      </w:r>
      <w:r w:rsidR="00F94078" w:rsidRPr="00DB556E">
        <w:t xml:space="preserve">el seguimiento de las medidas implementadas en 2021 en el ramo de aduanas, </w:t>
      </w:r>
      <w:r w:rsidR="0032176C" w:rsidRPr="00DB556E">
        <w:t>tales como:</w:t>
      </w:r>
      <w:r w:rsidR="00F94078" w:rsidRPr="00DB556E">
        <w:t xml:space="preserve"> </w:t>
      </w:r>
      <w:r w:rsidR="0032176C" w:rsidRPr="00DB556E">
        <w:t xml:space="preserve">las </w:t>
      </w:r>
      <w:r w:rsidR="00F94078" w:rsidRPr="00DB556E">
        <w:t>acciones para combatir la defraudación y el contrabando que redundaron en mayor eficiencia del control aduanero, seguimiento del plan de combate al contrabando aduanero puesta en marcha a través de puestos de control interinstitucional</w:t>
      </w:r>
      <w:r w:rsidR="0051181E" w:rsidRPr="00DB556E">
        <w:t xml:space="preserve"> </w:t>
      </w:r>
      <w:r w:rsidR="00F94078" w:rsidRPr="00DB556E">
        <w:t xml:space="preserve">, a la simplificación, automatización y transparencia en el ingreso y salida de la carga vía aérea, fortalecimiento de la gestión de riesgo, operativos interinstitucionales en aduanas aéreas, terrestres, marítimas, puestos fronterizos, depósitos aduaneros y zonas francas, puesta en marcha del sistema de etiquetas de radiofrecuencia -RFID-, </w:t>
      </w:r>
      <w:r w:rsidR="009F42CC" w:rsidRPr="00DB556E">
        <w:t>entre otros.</w:t>
      </w:r>
    </w:p>
    <w:p w14:paraId="5216763A" w14:textId="77777777" w:rsidR="003D0FCA" w:rsidRPr="00DB556E" w:rsidRDefault="003D0FCA" w:rsidP="006B682E"/>
    <w:p w14:paraId="7E0B5894" w14:textId="77777777" w:rsidR="00E66A98" w:rsidRPr="00DB556E" w:rsidRDefault="00E66A98" w:rsidP="00E66A98">
      <w:pPr>
        <w:pStyle w:val="Prrafodelista"/>
        <w:numPr>
          <w:ilvl w:val="0"/>
          <w:numId w:val="32"/>
        </w:numPr>
        <w:outlineLvl w:val="2"/>
        <w:rPr>
          <w:rFonts w:cs="Times New Roman"/>
          <w:b/>
          <w:vanish/>
          <w:lang w:val="es-MX"/>
        </w:rPr>
      </w:pPr>
      <w:bookmarkStart w:id="48" w:name="_Toc31612759"/>
      <w:bookmarkStart w:id="49" w:name="_Toc31612791"/>
      <w:bookmarkStart w:id="50" w:name="_Toc31614817"/>
      <w:bookmarkStart w:id="51" w:name="_Toc31614849"/>
      <w:bookmarkStart w:id="52" w:name="_Toc31618686"/>
      <w:bookmarkStart w:id="53" w:name="_Toc31618719"/>
      <w:bookmarkStart w:id="54" w:name="_Toc31624495"/>
      <w:bookmarkStart w:id="55" w:name="_Toc31625347"/>
      <w:bookmarkStart w:id="56" w:name="_Toc31626802"/>
      <w:bookmarkStart w:id="57" w:name="_Toc31811253"/>
      <w:bookmarkStart w:id="58" w:name="_Toc31811698"/>
      <w:bookmarkStart w:id="59" w:name="_Toc31971861"/>
      <w:bookmarkStart w:id="60" w:name="_Toc32230883"/>
      <w:bookmarkStart w:id="61" w:name="_Toc33109782"/>
      <w:bookmarkStart w:id="62" w:name="_Toc33109825"/>
      <w:bookmarkStart w:id="63" w:name="_Toc33180546"/>
      <w:bookmarkStart w:id="64" w:name="_Toc33180640"/>
      <w:bookmarkStart w:id="65" w:name="_Toc33193537"/>
      <w:bookmarkStart w:id="66" w:name="_Toc33193576"/>
      <w:bookmarkStart w:id="67" w:name="_Toc33196773"/>
      <w:bookmarkStart w:id="68" w:name="_Toc40691749"/>
      <w:bookmarkStart w:id="69" w:name="_Toc40959152"/>
      <w:bookmarkStart w:id="70" w:name="_Toc40975986"/>
      <w:bookmarkStart w:id="71" w:name="_Toc40976055"/>
      <w:bookmarkStart w:id="72" w:name="_Toc40993310"/>
      <w:bookmarkStart w:id="73" w:name="_Toc40993692"/>
      <w:bookmarkStart w:id="74" w:name="_Toc41037568"/>
      <w:bookmarkStart w:id="75" w:name="_Toc41254128"/>
      <w:bookmarkStart w:id="76" w:name="_Toc41254160"/>
      <w:bookmarkStart w:id="77" w:name="_Toc41254180"/>
      <w:bookmarkStart w:id="78" w:name="_Toc42023953"/>
      <w:bookmarkStart w:id="79" w:name="_Toc42024006"/>
      <w:bookmarkStart w:id="80" w:name="_Toc42069104"/>
      <w:bookmarkStart w:id="81" w:name="_Toc49422050"/>
      <w:bookmarkStart w:id="82" w:name="_Toc49422076"/>
      <w:bookmarkStart w:id="83" w:name="_Toc49430655"/>
      <w:bookmarkStart w:id="84" w:name="_Toc49430681"/>
      <w:bookmarkStart w:id="85" w:name="_Toc49750458"/>
      <w:bookmarkStart w:id="86" w:name="_Toc49750708"/>
      <w:bookmarkStart w:id="87" w:name="_Toc49750736"/>
      <w:bookmarkStart w:id="88" w:name="_Toc55284822"/>
      <w:bookmarkStart w:id="89" w:name="_Toc55298840"/>
      <w:bookmarkStart w:id="90" w:name="_Toc55373821"/>
      <w:bookmarkStart w:id="91" w:name="_Toc55373994"/>
      <w:bookmarkStart w:id="92" w:name="_Toc55375131"/>
      <w:bookmarkStart w:id="93" w:name="_Toc55396539"/>
      <w:bookmarkStart w:id="94" w:name="_Toc65230535"/>
      <w:bookmarkStart w:id="95" w:name="_Toc65230773"/>
      <w:bookmarkStart w:id="96" w:name="_Toc65232057"/>
      <w:bookmarkStart w:id="97" w:name="_Toc65232302"/>
      <w:bookmarkStart w:id="98" w:name="_Toc66716161"/>
      <w:bookmarkStart w:id="99" w:name="_Toc71097206"/>
      <w:bookmarkStart w:id="100" w:name="_Toc71097237"/>
      <w:bookmarkStart w:id="101" w:name="_Toc71097312"/>
      <w:bookmarkStart w:id="102" w:name="_Toc71108052"/>
      <w:bookmarkStart w:id="103" w:name="_Toc79055246"/>
      <w:bookmarkStart w:id="104" w:name="_Toc79055277"/>
      <w:bookmarkStart w:id="105" w:name="_Toc79060168"/>
      <w:bookmarkStart w:id="106" w:name="_Toc79060455"/>
      <w:bookmarkStart w:id="107" w:name="_Toc81307812"/>
      <w:bookmarkStart w:id="108" w:name="_Toc83376473"/>
      <w:bookmarkStart w:id="109" w:name="_Toc86386712"/>
      <w:bookmarkStart w:id="110" w:name="_Toc86405398"/>
      <w:bookmarkStart w:id="111" w:name="_Toc98162428"/>
      <w:bookmarkStart w:id="112" w:name="_Toc98162460"/>
      <w:bookmarkStart w:id="113" w:name="_Toc98234986"/>
      <w:bookmarkStart w:id="114" w:name="_Toc98235181"/>
      <w:bookmarkStart w:id="115" w:name="_Toc98235266"/>
      <w:bookmarkStart w:id="116" w:name="_Toc98757136"/>
      <w:bookmarkStart w:id="117" w:name="_Toc101874691"/>
      <w:bookmarkStart w:id="118" w:name="_Toc101954147"/>
      <w:bookmarkStart w:id="119" w:name="_Toc101971964"/>
      <w:bookmarkStart w:id="120" w:name="_Toc101974056"/>
      <w:bookmarkStart w:id="121" w:name="_Toc102039741"/>
      <w:bookmarkStart w:id="122" w:name="_Toc102039779"/>
      <w:bookmarkStart w:id="123" w:name="_Toc102039819"/>
      <w:bookmarkStart w:id="124" w:name="_Toc102039850"/>
      <w:bookmarkStart w:id="125" w:name="_Toc102040908"/>
      <w:bookmarkStart w:id="126" w:name="_Toc102477756"/>
      <w:bookmarkStart w:id="127" w:name="_Toc10247778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14523242" w14:textId="77777777" w:rsidR="00E66A98" w:rsidRPr="00DB556E" w:rsidRDefault="00E66A98" w:rsidP="00E66A98">
      <w:pPr>
        <w:pStyle w:val="Prrafodelista"/>
        <w:numPr>
          <w:ilvl w:val="1"/>
          <w:numId w:val="32"/>
        </w:numPr>
        <w:outlineLvl w:val="2"/>
        <w:rPr>
          <w:rFonts w:cs="Times New Roman"/>
          <w:b/>
          <w:vanish/>
          <w:lang w:val="es-MX"/>
        </w:rPr>
      </w:pPr>
      <w:bookmarkStart w:id="128" w:name="_Toc31612760"/>
      <w:bookmarkStart w:id="129" w:name="_Toc31612792"/>
      <w:bookmarkStart w:id="130" w:name="_Toc31614818"/>
      <w:bookmarkStart w:id="131" w:name="_Toc31614850"/>
      <w:bookmarkStart w:id="132" w:name="_Toc31618687"/>
      <w:bookmarkStart w:id="133" w:name="_Toc31618720"/>
      <w:bookmarkStart w:id="134" w:name="_Toc31624496"/>
      <w:bookmarkStart w:id="135" w:name="_Toc31625348"/>
      <w:bookmarkStart w:id="136" w:name="_Toc31626803"/>
      <w:bookmarkStart w:id="137" w:name="_Toc31811254"/>
      <w:bookmarkStart w:id="138" w:name="_Toc31811699"/>
      <w:bookmarkStart w:id="139" w:name="_Toc31971862"/>
      <w:bookmarkStart w:id="140" w:name="_Toc32230884"/>
      <w:bookmarkStart w:id="141" w:name="_Toc33109783"/>
      <w:bookmarkStart w:id="142" w:name="_Toc33109826"/>
      <w:bookmarkStart w:id="143" w:name="_Toc33180547"/>
      <w:bookmarkStart w:id="144" w:name="_Toc33180641"/>
      <w:bookmarkStart w:id="145" w:name="_Toc33193538"/>
      <w:bookmarkStart w:id="146" w:name="_Toc33193577"/>
      <w:bookmarkStart w:id="147" w:name="_Toc33196774"/>
      <w:bookmarkStart w:id="148" w:name="_Toc40691750"/>
      <w:bookmarkStart w:id="149" w:name="_Toc40959153"/>
      <w:bookmarkStart w:id="150" w:name="_Toc40975987"/>
      <w:bookmarkStart w:id="151" w:name="_Toc40976056"/>
      <w:bookmarkStart w:id="152" w:name="_Toc40993311"/>
      <w:bookmarkStart w:id="153" w:name="_Toc40993693"/>
      <w:bookmarkStart w:id="154" w:name="_Toc41037569"/>
      <w:bookmarkStart w:id="155" w:name="_Toc41254129"/>
      <w:bookmarkStart w:id="156" w:name="_Toc41254161"/>
      <w:bookmarkStart w:id="157" w:name="_Toc41254181"/>
      <w:bookmarkStart w:id="158" w:name="_Toc42023954"/>
      <w:bookmarkStart w:id="159" w:name="_Toc42024007"/>
      <w:bookmarkStart w:id="160" w:name="_Toc42069105"/>
      <w:bookmarkStart w:id="161" w:name="_Toc49422051"/>
      <w:bookmarkStart w:id="162" w:name="_Toc49422077"/>
      <w:bookmarkStart w:id="163" w:name="_Toc49430656"/>
      <w:bookmarkStart w:id="164" w:name="_Toc49430682"/>
      <w:bookmarkStart w:id="165" w:name="_Toc49750459"/>
      <w:bookmarkStart w:id="166" w:name="_Toc49750709"/>
      <w:bookmarkStart w:id="167" w:name="_Toc49750737"/>
      <w:bookmarkStart w:id="168" w:name="_Toc55284823"/>
      <w:bookmarkStart w:id="169" w:name="_Toc55298841"/>
      <w:bookmarkStart w:id="170" w:name="_Toc55373822"/>
      <w:bookmarkStart w:id="171" w:name="_Toc55373995"/>
      <w:bookmarkStart w:id="172" w:name="_Toc55375132"/>
      <w:bookmarkStart w:id="173" w:name="_Toc55396540"/>
      <w:bookmarkStart w:id="174" w:name="_Toc65230536"/>
      <w:bookmarkStart w:id="175" w:name="_Toc65230774"/>
      <w:bookmarkStart w:id="176" w:name="_Toc65232058"/>
      <w:bookmarkStart w:id="177" w:name="_Toc65232303"/>
      <w:bookmarkStart w:id="178" w:name="_Toc66716162"/>
      <w:bookmarkStart w:id="179" w:name="_Toc71097207"/>
      <w:bookmarkStart w:id="180" w:name="_Toc71097238"/>
      <w:bookmarkStart w:id="181" w:name="_Toc71097313"/>
      <w:bookmarkStart w:id="182" w:name="_Toc71108053"/>
      <w:bookmarkStart w:id="183" w:name="_Toc79055247"/>
      <w:bookmarkStart w:id="184" w:name="_Toc79055278"/>
      <w:bookmarkStart w:id="185" w:name="_Toc79060169"/>
      <w:bookmarkStart w:id="186" w:name="_Toc79060456"/>
      <w:bookmarkStart w:id="187" w:name="_Toc81307813"/>
      <w:bookmarkStart w:id="188" w:name="_Toc83376474"/>
      <w:bookmarkStart w:id="189" w:name="_Toc86386713"/>
      <w:bookmarkStart w:id="190" w:name="_Toc86405399"/>
      <w:bookmarkStart w:id="191" w:name="_Toc98162429"/>
      <w:bookmarkStart w:id="192" w:name="_Toc98162461"/>
      <w:bookmarkStart w:id="193" w:name="_Toc98234987"/>
      <w:bookmarkStart w:id="194" w:name="_Toc98235182"/>
      <w:bookmarkStart w:id="195" w:name="_Toc98235267"/>
      <w:bookmarkStart w:id="196" w:name="_Toc98757137"/>
      <w:bookmarkStart w:id="197" w:name="_Toc101874692"/>
      <w:bookmarkStart w:id="198" w:name="_Toc101954148"/>
      <w:bookmarkStart w:id="199" w:name="_Toc101971965"/>
      <w:bookmarkStart w:id="200" w:name="_Toc101974057"/>
      <w:bookmarkStart w:id="201" w:name="_Toc102039742"/>
      <w:bookmarkStart w:id="202" w:name="_Toc102039780"/>
      <w:bookmarkStart w:id="203" w:name="_Toc102039820"/>
      <w:bookmarkStart w:id="204" w:name="_Toc102039851"/>
      <w:bookmarkStart w:id="205" w:name="_Toc102040909"/>
      <w:bookmarkStart w:id="206" w:name="_Toc102477757"/>
      <w:bookmarkStart w:id="207" w:name="_Toc102477788"/>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305ED7A2" w14:textId="77777777" w:rsidR="00E66A98" w:rsidRPr="00DB556E" w:rsidRDefault="00E66A98" w:rsidP="00E66A98">
      <w:pPr>
        <w:pStyle w:val="Prrafodelista"/>
        <w:numPr>
          <w:ilvl w:val="1"/>
          <w:numId w:val="32"/>
        </w:numPr>
        <w:outlineLvl w:val="2"/>
        <w:rPr>
          <w:rFonts w:cs="Times New Roman"/>
          <w:b/>
          <w:vanish/>
          <w:lang w:val="es-MX"/>
        </w:rPr>
      </w:pPr>
      <w:bookmarkStart w:id="208" w:name="_Toc31612761"/>
      <w:bookmarkStart w:id="209" w:name="_Toc31612793"/>
      <w:bookmarkStart w:id="210" w:name="_Toc31614819"/>
      <w:bookmarkStart w:id="211" w:name="_Toc31614851"/>
      <w:bookmarkStart w:id="212" w:name="_Toc31618688"/>
      <w:bookmarkStart w:id="213" w:name="_Toc31618721"/>
      <w:bookmarkStart w:id="214" w:name="_Toc31624497"/>
      <w:bookmarkStart w:id="215" w:name="_Toc31625349"/>
      <w:bookmarkStart w:id="216" w:name="_Toc31626804"/>
      <w:bookmarkStart w:id="217" w:name="_Toc31811255"/>
      <w:bookmarkStart w:id="218" w:name="_Toc31811700"/>
      <w:bookmarkStart w:id="219" w:name="_Toc31971863"/>
      <w:bookmarkStart w:id="220" w:name="_Toc32230885"/>
      <w:bookmarkStart w:id="221" w:name="_Toc33109784"/>
      <w:bookmarkStart w:id="222" w:name="_Toc33109827"/>
      <w:bookmarkStart w:id="223" w:name="_Toc33180548"/>
      <w:bookmarkStart w:id="224" w:name="_Toc33180642"/>
      <w:bookmarkStart w:id="225" w:name="_Toc33193539"/>
      <w:bookmarkStart w:id="226" w:name="_Toc33193578"/>
      <w:bookmarkStart w:id="227" w:name="_Toc33196775"/>
      <w:bookmarkStart w:id="228" w:name="_Toc40691751"/>
      <w:bookmarkStart w:id="229" w:name="_Toc40959154"/>
      <w:bookmarkStart w:id="230" w:name="_Toc40975988"/>
      <w:bookmarkStart w:id="231" w:name="_Toc40976057"/>
      <w:bookmarkStart w:id="232" w:name="_Toc40993312"/>
      <w:bookmarkStart w:id="233" w:name="_Toc40993694"/>
      <w:bookmarkStart w:id="234" w:name="_Toc41037570"/>
      <w:bookmarkStart w:id="235" w:name="_Toc41254130"/>
      <w:bookmarkStart w:id="236" w:name="_Toc41254162"/>
      <w:bookmarkStart w:id="237" w:name="_Toc41254182"/>
      <w:bookmarkStart w:id="238" w:name="_Toc42023955"/>
      <w:bookmarkStart w:id="239" w:name="_Toc42024008"/>
      <w:bookmarkStart w:id="240" w:name="_Toc42069106"/>
      <w:bookmarkStart w:id="241" w:name="_Toc49422052"/>
      <w:bookmarkStart w:id="242" w:name="_Toc49422078"/>
      <w:bookmarkStart w:id="243" w:name="_Toc49430657"/>
      <w:bookmarkStart w:id="244" w:name="_Toc49430683"/>
      <w:bookmarkStart w:id="245" w:name="_Toc49750460"/>
      <w:bookmarkStart w:id="246" w:name="_Toc49750710"/>
      <w:bookmarkStart w:id="247" w:name="_Toc49750738"/>
      <w:bookmarkStart w:id="248" w:name="_Toc55284824"/>
      <w:bookmarkStart w:id="249" w:name="_Toc55298842"/>
      <w:bookmarkStart w:id="250" w:name="_Toc55373823"/>
      <w:bookmarkStart w:id="251" w:name="_Toc55373996"/>
      <w:bookmarkStart w:id="252" w:name="_Toc55375133"/>
      <w:bookmarkStart w:id="253" w:name="_Toc55396541"/>
      <w:bookmarkStart w:id="254" w:name="_Toc65230537"/>
      <w:bookmarkStart w:id="255" w:name="_Toc65230775"/>
      <w:bookmarkStart w:id="256" w:name="_Toc65232059"/>
      <w:bookmarkStart w:id="257" w:name="_Toc65232304"/>
      <w:bookmarkStart w:id="258" w:name="_Toc66716163"/>
      <w:bookmarkStart w:id="259" w:name="_Toc71097208"/>
      <w:bookmarkStart w:id="260" w:name="_Toc71097239"/>
      <w:bookmarkStart w:id="261" w:name="_Toc71097314"/>
      <w:bookmarkStart w:id="262" w:name="_Toc71108054"/>
      <w:bookmarkStart w:id="263" w:name="_Toc79055248"/>
      <w:bookmarkStart w:id="264" w:name="_Toc79055279"/>
      <w:bookmarkStart w:id="265" w:name="_Toc79060170"/>
      <w:bookmarkStart w:id="266" w:name="_Toc79060457"/>
      <w:bookmarkStart w:id="267" w:name="_Toc81307814"/>
      <w:bookmarkStart w:id="268" w:name="_Toc83376475"/>
      <w:bookmarkStart w:id="269" w:name="_Toc86386714"/>
      <w:bookmarkStart w:id="270" w:name="_Toc86405400"/>
      <w:bookmarkStart w:id="271" w:name="_Toc98162430"/>
      <w:bookmarkStart w:id="272" w:name="_Toc98162462"/>
      <w:bookmarkStart w:id="273" w:name="_Toc98234988"/>
      <w:bookmarkStart w:id="274" w:name="_Toc98235183"/>
      <w:bookmarkStart w:id="275" w:name="_Toc98235268"/>
      <w:bookmarkStart w:id="276" w:name="_Toc98757138"/>
      <w:bookmarkStart w:id="277" w:name="_Toc101874693"/>
      <w:bookmarkStart w:id="278" w:name="_Toc101954149"/>
      <w:bookmarkStart w:id="279" w:name="_Toc101971966"/>
      <w:bookmarkStart w:id="280" w:name="_Toc101974058"/>
      <w:bookmarkStart w:id="281" w:name="_Toc102039743"/>
      <w:bookmarkStart w:id="282" w:name="_Toc102039781"/>
      <w:bookmarkStart w:id="283" w:name="_Toc102039821"/>
      <w:bookmarkStart w:id="284" w:name="_Toc102039852"/>
      <w:bookmarkStart w:id="285" w:name="_Toc102040910"/>
      <w:bookmarkStart w:id="286" w:name="_Toc102477758"/>
      <w:bookmarkStart w:id="287" w:name="_Toc102477789"/>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41832A88" w14:textId="77777777" w:rsidR="008C0B31" w:rsidRPr="00DB556E" w:rsidRDefault="008C0B31" w:rsidP="00BC50A6">
      <w:pPr>
        <w:pStyle w:val="Prrafodelista"/>
        <w:numPr>
          <w:ilvl w:val="0"/>
          <w:numId w:val="1"/>
        </w:numPr>
        <w:ind w:left="426" w:hanging="426"/>
        <w:outlineLvl w:val="0"/>
        <w:rPr>
          <w:rFonts w:eastAsiaTheme="majorEastAsia" w:cs="Times New Roman"/>
          <w:b/>
          <w:bCs/>
          <w:sz w:val="24"/>
          <w:szCs w:val="26"/>
          <w:lang w:val="es-ES_tradnl" w:eastAsia="es-ES"/>
        </w:rPr>
      </w:pPr>
      <w:bookmarkStart w:id="288" w:name="_Toc102477790"/>
      <w:r w:rsidRPr="00DB556E">
        <w:rPr>
          <w:rFonts w:eastAsiaTheme="majorEastAsia" w:cs="Times New Roman"/>
          <w:b/>
          <w:bCs/>
          <w:sz w:val="24"/>
          <w:szCs w:val="26"/>
          <w:lang w:val="es-ES_tradnl" w:eastAsia="es-ES"/>
        </w:rPr>
        <w:t>Gasto Público</w:t>
      </w:r>
      <w:r w:rsidR="00CE4BA6" w:rsidRPr="00DB556E">
        <w:rPr>
          <w:rFonts w:eastAsiaTheme="majorEastAsia" w:cs="Times New Roman"/>
          <w:b/>
          <w:bCs/>
          <w:sz w:val="24"/>
          <w:szCs w:val="26"/>
          <w:lang w:val="es-ES_tradnl" w:eastAsia="es-ES"/>
        </w:rPr>
        <w:t xml:space="preserve"> del Gobierno Central Presupuestario</w:t>
      </w:r>
      <w:bookmarkEnd w:id="288"/>
    </w:p>
    <w:p w14:paraId="60038496" w14:textId="77777777" w:rsidR="0039614C" w:rsidRPr="00DB556E" w:rsidRDefault="0039614C" w:rsidP="00B57C32">
      <w:pPr>
        <w:rPr>
          <w:rFonts w:eastAsiaTheme="majorEastAsia" w:cs="Times New Roman"/>
          <w:b/>
          <w:bCs/>
          <w:sz w:val="24"/>
          <w:szCs w:val="26"/>
          <w:lang w:val="es-ES_tradnl"/>
        </w:rPr>
      </w:pPr>
      <w:r w:rsidRPr="00DB556E">
        <w:rPr>
          <w:rFonts w:eastAsiaTheme="majorEastAsia"/>
          <w:noProof/>
          <w:lang w:eastAsia="es-GT"/>
        </w:rPr>
        <w:drawing>
          <wp:inline distT="0" distB="0" distL="0" distR="0" wp14:anchorId="75D3D81E" wp14:editId="5B100866">
            <wp:extent cx="5836920" cy="948520"/>
            <wp:effectExtent l="76200" t="57150" r="87630" b="4254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2025EE4" w14:textId="77777777" w:rsidR="00770433" w:rsidRPr="00DB556E"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289" w:name="_Toc471986932"/>
      <w:bookmarkStart w:id="290" w:name="_Toc471987067"/>
      <w:bookmarkStart w:id="291" w:name="_Toc471987115"/>
      <w:bookmarkStart w:id="292" w:name="_Toc471987137"/>
      <w:bookmarkStart w:id="293" w:name="_Toc472082165"/>
      <w:bookmarkStart w:id="294" w:name="_Toc472082197"/>
      <w:bookmarkStart w:id="295" w:name="_Toc472089913"/>
      <w:bookmarkStart w:id="296" w:name="_Toc472089936"/>
      <w:bookmarkStart w:id="297" w:name="_Toc505346063"/>
      <w:bookmarkStart w:id="298" w:name="_Toc505349878"/>
      <w:bookmarkStart w:id="299" w:name="_Toc534985836"/>
      <w:bookmarkStart w:id="300" w:name="_Toc534988229"/>
      <w:bookmarkStart w:id="301" w:name="_Toc31611549"/>
      <w:bookmarkStart w:id="302" w:name="_Toc31612768"/>
      <w:bookmarkStart w:id="303" w:name="_Toc31612800"/>
      <w:bookmarkStart w:id="304" w:name="_Toc31614826"/>
      <w:bookmarkStart w:id="305" w:name="_Toc31614858"/>
      <w:bookmarkStart w:id="306" w:name="_Toc31618695"/>
      <w:bookmarkStart w:id="307" w:name="_Toc31618728"/>
      <w:bookmarkStart w:id="308" w:name="_Toc31624504"/>
      <w:bookmarkStart w:id="309" w:name="_Toc31625356"/>
      <w:bookmarkStart w:id="310" w:name="_Toc31626811"/>
      <w:bookmarkStart w:id="311" w:name="_Toc31811262"/>
      <w:bookmarkStart w:id="312" w:name="_Toc31811707"/>
      <w:bookmarkStart w:id="313" w:name="_Toc31971870"/>
      <w:bookmarkStart w:id="314" w:name="_Toc32230892"/>
      <w:bookmarkStart w:id="315" w:name="_Toc33109788"/>
      <w:bookmarkStart w:id="316" w:name="_Toc33109831"/>
      <w:bookmarkStart w:id="317" w:name="_Toc33180552"/>
      <w:bookmarkStart w:id="318" w:name="_Toc33180646"/>
      <w:bookmarkStart w:id="319" w:name="_Toc33193543"/>
      <w:bookmarkStart w:id="320" w:name="_Toc33193582"/>
      <w:bookmarkStart w:id="321" w:name="_Toc33196779"/>
      <w:bookmarkStart w:id="322" w:name="_Toc40691755"/>
      <w:bookmarkStart w:id="323" w:name="_Toc40959156"/>
      <w:bookmarkStart w:id="324" w:name="_Toc40975990"/>
      <w:bookmarkStart w:id="325" w:name="_Toc40976059"/>
      <w:bookmarkStart w:id="326" w:name="_Toc40993314"/>
      <w:bookmarkStart w:id="327" w:name="_Toc40993696"/>
      <w:bookmarkStart w:id="328" w:name="_Toc41037572"/>
      <w:bookmarkStart w:id="329" w:name="_Toc41254132"/>
      <w:bookmarkStart w:id="330" w:name="_Toc41254164"/>
      <w:bookmarkStart w:id="331" w:name="_Toc41254184"/>
      <w:bookmarkStart w:id="332" w:name="_Toc42023958"/>
      <w:bookmarkStart w:id="333" w:name="_Toc42024010"/>
      <w:bookmarkStart w:id="334" w:name="_Toc42069108"/>
      <w:bookmarkStart w:id="335" w:name="_Toc49422054"/>
      <w:bookmarkStart w:id="336" w:name="_Toc49422080"/>
      <w:bookmarkStart w:id="337" w:name="_Toc49430659"/>
      <w:bookmarkStart w:id="338" w:name="_Toc49430685"/>
      <w:bookmarkStart w:id="339" w:name="_Toc49750462"/>
      <w:bookmarkStart w:id="340" w:name="_Toc49750712"/>
      <w:bookmarkStart w:id="341" w:name="_Toc49750740"/>
      <w:bookmarkStart w:id="342" w:name="_Toc55284826"/>
      <w:bookmarkStart w:id="343" w:name="_Toc55298844"/>
      <w:bookmarkStart w:id="344" w:name="_Toc55373825"/>
      <w:bookmarkStart w:id="345" w:name="_Toc55373998"/>
      <w:bookmarkStart w:id="346" w:name="_Toc55375135"/>
      <w:bookmarkStart w:id="347" w:name="_Toc55396543"/>
      <w:bookmarkStart w:id="348" w:name="_Toc65230539"/>
      <w:bookmarkStart w:id="349" w:name="_Toc65230777"/>
      <w:bookmarkStart w:id="350" w:name="_Toc65232061"/>
      <w:bookmarkStart w:id="351" w:name="_Toc65232306"/>
      <w:bookmarkStart w:id="352" w:name="_Toc66716165"/>
      <w:bookmarkStart w:id="353" w:name="_Toc71097210"/>
      <w:bookmarkStart w:id="354" w:name="_Toc71097241"/>
      <w:bookmarkStart w:id="355" w:name="_Toc71097316"/>
      <w:bookmarkStart w:id="356" w:name="_Toc71108056"/>
      <w:bookmarkStart w:id="357" w:name="_Toc79055250"/>
      <w:bookmarkStart w:id="358" w:name="_Toc79055281"/>
      <w:bookmarkStart w:id="359" w:name="_Toc79060172"/>
      <w:bookmarkStart w:id="360" w:name="_Toc79060459"/>
      <w:bookmarkStart w:id="361" w:name="_Toc81307816"/>
      <w:bookmarkStart w:id="362" w:name="_Toc83376477"/>
      <w:bookmarkStart w:id="363" w:name="_Toc86386716"/>
      <w:bookmarkStart w:id="364" w:name="_Toc86405402"/>
      <w:bookmarkStart w:id="365" w:name="_Toc98162432"/>
      <w:bookmarkStart w:id="366" w:name="_Toc98162464"/>
      <w:bookmarkStart w:id="367" w:name="_Toc98234990"/>
      <w:bookmarkStart w:id="368" w:name="_Toc98235185"/>
      <w:bookmarkStart w:id="369" w:name="_Toc98235270"/>
      <w:bookmarkStart w:id="370" w:name="_Toc98757140"/>
      <w:bookmarkStart w:id="371" w:name="_Toc101874695"/>
      <w:bookmarkStart w:id="372" w:name="_Toc101954151"/>
      <w:bookmarkStart w:id="373" w:name="_Toc101971968"/>
      <w:bookmarkStart w:id="374" w:name="_Toc101974060"/>
      <w:bookmarkStart w:id="375" w:name="_Toc102039745"/>
      <w:bookmarkStart w:id="376" w:name="_Toc102039783"/>
      <w:bookmarkStart w:id="377" w:name="_Toc102039823"/>
      <w:bookmarkStart w:id="378" w:name="_Toc102039854"/>
      <w:bookmarkStart w:id="379" w:name="_Toc102040912"/>
      <w:bookmarkStart w:id="380" w:name="_Toc102477760"/>
      <w:bookmarkStart w:id="381" w:name="_Toc102477791"/>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2FFEEFA0" w14:textId="77777777" w:rsidR="00770433" w:rsidRPr="00DB556E" w:rsidRDefault="00770433" w:rsidP="00770433">
      <w:pPr>
        <w:pStyle w:val="Prrafodelista"/>
        <w:keepNext/>
        <w:keepLines/>
        <w:numPr>
          <w:ilvl w:val="0"/>
          <w:numId w:val="12"/>
        </w:numPr>
        <w:spacing w:before="200"/>
        <w:contextualSpacing w:val="0"/>
        <w:outlineLvl w:val="1"/>
        <w:rPr>
          <w:rFonts w:eastAsiaTheme="majorEastAsia" w:cs="Times New Roman"/>
          <w:b/>
          <w:bCs/>
          <w:vanish/>
          <w:sz w:val="24"/>
          <w:szCs w:val="26"/>
          <w:lang w:val="es-ES_tradnl" w:eastAsia="es-ES"/>
        </w:rPr>
      </w:pPr>
      <w:bookmarkStart w:id="382" w:name="_Toc472082166"/>
      <w:bookmarkStart w:id="383" w:name="_Toc472082198"/>
      <w:bookmarkStart w:id="384" w:name="_Toc472089914"/>
      <w:bookmarkStart w:id="385" w:name="_Toc472089937"/>
      <w:bookmarkStart w:id="386" w:name="_Toc505346064"/>
      <w:bookmarkStart w:id="387" w:name="_Toc505349879"/>
      <w:bookmarkStart w:id="388" w:name="_Toc534985837"/>
      <w:bookmarkStart w:id="389" w:name="_Toc534988230"/>
      <w:bookmarkStart w:id="390" w:name="_Toc31611550"/>
      <w:bookmarkStart w:id="391" w:name="_Toc31612769"/>
      <w:bookmarkStart w:id="392" w:name="_Toc31612801"/>
      <w:bookmarkStart w:id="393" w:name="_Toc31614827"/>
      <w:bookmarkStart w:id="394" w:name="_Toc31614859"/>
      <w:bookmarkStart w:id="395" w:name="_Toc31618696"/>
      <w:bookmarkStart w:id="396" w:name="_Toc31618729"/>
      <w:bookmarkStart w:id="397" w:name="_Toc31624505"/>
      <w:bookmarkStart w:id="398" w:name="_Toc31625357"/>
      <w:bookmarkStart w:id="399" w:name="_Toc31626812"/>
      <w:bookmarkStart w:id="400" w:name="_Toc31811263"/>
      <w:bookmarkStart w:id="401" w:name="_Toc31811708"/>
      <w:bookmarkStart w:id="402" w:name="_Toc31971871"/>
      <w:bookmarkStart w:id="403" w:name="_Toc32230893"/>
      <w:bookmarkStart w:id="404" w:name="_Toc33109789"/>
      <w:bookmarkStart w:id="405" w:name="_Toc33109832"/>
      <w:bookmarkStart w:id="406" w:name="_Toc33180553"/>
      <w:bookmarkStart w:id="407" w:name="_Toc33180647"/>
      <w:bookmarkStart w:id="408" w:name="_Toc33193544"/>
      <w:bookmarkStart w:id="409" w:name="_Toc33193583"/>
      <w:bookmarkStart w:id="410" w:name="_Toc33196780"/>
      <w:bookmarkStart w:id="411" w:name="_Toc40691756"/>
      <w:bookmarkStart w:id="412" w:name="_Toc40959157"/>
      <w:bookmarkStart w:id="413" w:name="_Toc40975991"/>
      <w:bookmarkStart w:id="414" w:name="_Toc40976060"/>
      <w:bookmarkStart w:id="415" w:name="_Toc40993315"/>
      <w:bookmarkStart w:id="416" w:name="_Toc40993697"/>
      <w:bookmarkStart w:id="417" w:name="_Toc41037573"/>
      <w:bookmarkStart w:id="418" w:name="_Toc41254133"/>
      <w:bookmarkStart w:id="419" w:name="_Toc41254165"/>
      <w:bookmarkStart w:id="420" w:name="_Toc41254185"/>
      <w:bookmarkStart w:id="421" w:name="_Toc42023959"/>
      <w:bookmarkStart w:id="422" w:name="_Toc42024011"/>
      <w:bookmarkStart w:id="423" w:name="_Toc42069109"/>
      <w:bookmarkStart w:id="424" w:name="_Toc49422055"/>
      <w:bookmarkStart w:id="425" w:name="_Toc49422081"/>
      <w:bookmarkStart w:id="426" w:name="_Toc49430660"/>
      <w:bookmarkStart w:id="427" w:name="_Toc49430686"/>
      <w:bookmarkStart w:id="428" w:name="_Toc49750463"/>
      <w:bookmarkStart w:id="429" w:name="_Toc49750713"/>
      <w:bookmarkStart w:id="430" w:name="_Toc49750741"/>
      <w:bookmarkStart w:id="431" w:name="_Toc55284827"/>
      <w:bookmarkStart w:id="432" w:name="_Toc55298845"/>
      <w:bookmarkStart w:id="433" w:name="_Toc55373826"/>
      <w:bookmarkStart w:id="434" w:name="_Toc55373999"/>
      <w:bookmarkStart w:id="435" w:name="_Toc55375136"/>
      <w:bookmarkStart w:id="436" w:name="_Toc55396544"/>
      <w:bookmarkStart w:id="437" w:name="_Toc65230540"/>
      <w:bookmarkStart w:id="438" w:name="_Toc65230778"/>
      <w:bookmarkStart w:id="439" w:name="_Toc65232062"/>
      <w:bookmarkStart w:id="440" w:name="_Toc65232307"/>
      <w:bookmarkStart w:id="441" w:name="_Toc66716166"/>
      <w:bookmarkStart w:id="442" w:name="_Toc71097211"/>
      <w:bookmarkStart w:id="443" w:name="_Toc71097242"/>
      <w:bookmarkStart w:id="444" w:name="_Toc71097317"/>
      <w:bookmarkStart w:id="445" w:name="_Toc71108057"/>
      <w:bookmarkStart w:id="446" w:name="_Toc79055251"/>
      <w:bookmarkStart w:id="447" w:name="_Toc79055282"/>
      <w:bookmarkStart w:id="448" w:name="_Toc79060173"/>
      <w:bookmarkStart w:id="449" w:name="_Toc79060460"/>
      <w:bookmarkStart w:id="450" w:name="_Toc81307817"/>
      <w:bookmarkStart w:id="451" w:name="_Toc83376478"/>
      <w:bookmarkStart w:id="452" w:name="_Toc86386717"/>
      <w:bookmarkStart w:id="453" w:name="_Toc86405403"/>
      <w:bookmarkStart w:id="454" w:name="_Toc98162433"/>
      <w:bookmarkStart w:id="455" w:name="_Toc98162465"/>
      <w:bookmarkStart w:id="456" w:name="_Toc98234991"/>
      <w:bookmarkStart w:id="457" w:name="_Toc98235186"/>
      <w:bookmarkStart w:id="458" w:name="_Toc98235271"/>
      <w:bookmarkStart w:id="459" w:name="_Toc98757141"/>
      <w:bookmarkStart w:id="460" w:name="_Toc101874696"/>
      <w:bookmarkStart w:id="461" w:name="_Toc101954152"/>
      <w:bookmarkStart w:id="462" w:name="_Toc101971969"/>
      <w:bookmarkStart w:id="463" w:name="_Toc101974061"/>
      <w:bookmarkStart w:id="464" w:name="_Toc102039746"/>
      <w:bookmarkStart w:id="465" w:name="_Toc102039784"/>
      <w:bookmarkStart w:id="466" w:name="_Toc102039824"/>
      <w:bookmarkStart w:id="467" w:name="_Toc102039855"/>
      <w:bookmarkStart w:id="468" w:name="_Toc102040913"/>
      <w:bookmarkStart w:id="469" w:name="_Toc102477761"/>
      <w:bookmarkStart w:id="470" w:name="_Toc102477792"/>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61ADB711" w14:textId="77777777" w:rsidR="00AF2B4E" w:rsidRPr="00DB556E" w:rsidRDefault="00F23B0C" w:rsidP="008C33ED">
      <w:pPr>
        <w:pStyle w:val="Ttulo2"/>
        <w:numPr>
          <w:ilvl w:val="1"/>
          <w:numId w:val="12"/>
        </w:numPr>
        <w:tabs>
          <w:tab w:val="left" w:pos="426"/>
        </w:tabs>
        <w:spacing w:before="0"/>
        <w:ind w:left="284" w:hanging="284"/>
        <w:rPr>
          <w:rFonts w:cs="Times New Roman"/>
          <w:szCs w:val="22"/>
        </w:rPr>
        <w:sectPr w:rsidR="00AF2B4E" w:rsidRPr="00DB556E" w:rsidSect="00CB498E">
          <w:headerReference w:type="default" r:id="rId22"/>
          <w:footerReference w:type="default" r:id="rId23"/>
          <w:headerReference w:type="first" r:id="rId24"/>
          <w:footerReference w:type="first" r:id="rId25"/>
          <w:pgSz w:w="12240" w:h="15840" w:code="1"/>
          <w:pgMar w:top="1418" w:right="1418" w:bottom="1418" w:left="1418" w:header="709" w:footer="709" w:gutter="0"/>
          <w:pgNumType w:start="0"/>
          <w:cols w:space="708"/>
          <w:titlePg/>
          <w:docGrid w:linePitch="360"/>
        </w:sectPr>
      </w:pPr>
      <w:bookmarkStart w:id="471" w:name="_Toc102477793"/>
      <w:r w:rsidRPr="00DB556E">
        <w:rPr>
          <w:rFonts w:ascii="Times New Roman" w:hAnsi="Times New Roman" w:cs="Times New Roman"/>
          <w:color w:val="auto"/>
          <w:sz w:val="24"/>
        </w:rPr>
        <w:t xml:space="preserve">El </w:t>
      </w:r>
      <w:r w:rsidR="00BB55F5" w:rsidRPr="00DB556E">
        <w:rPr>
          <w:rFonts w:ascii="Times New Roman" w:hAnsi="Times New Roman" w:cs="Times New Roman"/>
          <w:color w:val="auto"/>
          <w:sz w:val="24"/>
        </w:rPr>
        <w:t xml:space="preserve">gasto </w:t>
      </w:r>
      <w:r w:rsidR="009A56EF" w:rsidRPr="00DB556E">
        <w:rPr>
          <w:rFonts w:ascii="Times New Roman" w:hAnsi="Times New Roman" w:cs="Times New Roman"/>
          <w:color w:val="auto"/>
          <w:sz w:val="24"/>
        </w:rPr>
        <w:t>público</w:t>
      </w:r>
      <w:r w:rsidRPr="00DB556E">
        <w:rPr>
          <w:rFonts w:ascii="Times New Roman" w:hAnsi="Times New Roman" w:cs="Times New Roman"/>
          <w:color w:val="auto"/>
          <w:sz w:val="24"/>
        </w:rPr>
        <w:t xml:space="preserve"> </w:t>
      </w:r>
      <w:r w:rsidR="00C13640" w:rsidRPr="00DB556E">
        <w:rPr>
          <w:rFonts w:ascii="Times New Roman" w:hAnsi="Times New Roman" w:cs="Times New Roman"/>
          <w:color w:val="auto"/>
          <w:sz w:val="24"/>
        </w:rPr>
        <w:t xml:space="preserve">con alto nivel de ejecución en </w:t>
      </w:r>
      <w:r w:rsidR="00C90982" w:rsidRPr="00DB556E">
        <w:rPr>
          <w:rFonts w:ascii="Times New Roman" w:hAnsi="Times New Roman" w:cs="Times New Roman"/>
          <w:color w:val="auto"/>
          <w:sz w:val="24"/>
        </w:rPr>
        <w:t xml:space="preserve">primer </w:t>
      </w:r>
      <w:r w:rsidR="00C13640" w:rsidRPr="00DB556E">
        <w:rPr>
          <w:rFonts w:ascii="Times New Roman" w:hAnsi="Times New Roman" w:cs="Times New Roman"/>
          <w:color w:val="auto"/>
          <w:sz w:val="24"/>
        </w:rPr>
        <w:t>trimestre 2022</w:t>
      </w:r>
      <w:bookmarkEnd w:id="471"/>
    </w:p>
    <w:p w14:paraId="6054E702" w14:textId="77777777" w:rsidR="00393D7D" w:rsidRPr="00DB556E" w:rsidRDefault="006E0D0F" w:rsidP="00CD34D6">
      <w:pPr>
        <w:rPr>
          <w:rFonts w:cs="Times New Roman"/>
          <w:szCs w:val="22"/>
        </w:rPr>
      </w:pPr>
      <w:r w:rsidRPr="00DB556E">
        <w:rPr>
          <w:rFonts w:cs="Times New Roman"/>
          <w:noProof/>
          <w:lang w:eastAsia="es-GT"/>
        </w:rPr>
        <w:drawing>
          <wp:anchor distT="0" distB="0" distL="114300" distR="114300" simplePos="0" relativeHeight="251661316" behindDoc="0" locked="0" layoutInCell="1" allowOverlap="1" wp14:anchorId="3C69339C" wp14:editId="178BD134">
            <wp:simplePos x="0" y="0"/>
            <wp:positionH relativeFrom="column">
              <wp:posOffset>3048635</wp:posOffset>
            </wp:positionH>
            <wp:positionV relativeFrom="paragraph">
              <wp:posOffset>17145</wp:posOffset>
            </wp:positionV>
            <wp:extent cx="2867025" cy="2076450"/>
            <wp:effectExtent l="0" t="0" r="0" b="0"/>
            <wp:wrapSquare wrapText="bothSides"/>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393D7D" w:rsidRPr="00DB556E">
        <w:rPr>
          <w:rFonts w:cs="Times New Roman"/>
          <w:szCs w:val="22"/>
        </w:rPr>
        <w:t>E</w:t>
      </w:r>
      <w:r w:rsidR="009A56EF" w:rsidRPr="00DB556E">
        <w:rPr>
          <w:rFonts w:cs="Times New Roman"/>
          <w:szCs w:val="22"/>
        </w:rPr>
        <w:t xml:space="preserve">l gasto público </w:t>
      </w:r>
      <w:r w:rsidR="00393D7D" w:rsidRPr="00DB556E">
        <w:rPr>
          <w:rFonts w:cs="Times New Roman"/>
          <w:szCs w:val="22"/>
        </w:rPr>
        <w:t xml:space="preserve">en el primer trimestre de 2022 </w:t>
      </w:r>
      <w:r w:rsidR="00026985" w:rsidRPr="00DB556E">
        <w:rPr>
          <w:rFonts w:cs="Times New Roman"/>
          <w:szCs w:val="22"/>
        </w:rPr>
        <w:t>se encuentra entorno a los Q20,277.3 millones, este es un crecimiento interanual del 17.8% (Q3,066.6 millones)</w:t>
      </w:r>
      <w:r w:rsidR="00B571C1" w:rsidRPr="00DB556E">
        <w:rPr>
          <w:rFonts w:cs="Times New Roman"/>
          <w:szCs w:val="22"/>
        </w:rPr>
        <w:t xml:space="preserve"> y que cabe mencionar, en el 2021 e</w:t>
      </w:r>
      <w:r w:rsidR="008C1098" w:rsidRPr="00DB556E">
        <w:rPr>
          <w:rFonts w:cs="Times New Roman"/>
          <w:szCs w:val="22"/>
        </w:rPr>
        <w:t>l gasto público</w:t>
      </w:r>
      <w:r w:rsidR="00F9152F" w:rsidRPr="00DB556E">
        <w:rPr>
          <w:rFonts w:cs="Times New Roman"/>
          <w:szCs w:val="22"/>
        </w:rPr>
        <w:t xml:space="preserve"> fue moderado (t</w:t>
      </w:r>
      <w:r w:rsidR="008C1098" w:rsidRPr="00DB556E">
        <w:rPr>
          <w:rFonts w:cs="Times New Roman"/>
          <w:szCs w:val="22"/>
        </w:rPr>
        <w:t xml:space="preserve">uvo </w:t>
      </w:r>
      <w:r w:rsidR="0004212A" w:rsidRPr="00DB556E">
        <w:rPr>
          <w:rFonts w:cs="Times New Roman"/>
          <w:szCs w:val="22"/>
        </w:rPr>
        <w:t xml:space="preserve">una </w:t>
      </w:r>
      <w:r w:rsidR="004816B5" w:rsidRPr="00DB556E">
        <w:rPr>
          <w:rFonts w:cs="Times New Roman"/>
          <w:szCs w:val="22"/>
        </w:rPr>
        <w:t>disminución respecto</w:t>
      </w:r>
      <w:r w:rsidR="007E6C59" w:rsidRPr="00DB556E">
        <w:rPr>
          <w:rFonts w:cs="Times New Roman"/>
          <w:szCs w:val="22"/>
        </w:rPr>
        <w:t xml:space="preserve"> al año previo </w:t>
      </w:r>
      <w:r w:rsidR="006D4B3F" w:rsidRPr="00DB556E">
        <w:rPr>
          <w:rFonts w:cs="Times New Roman"/>
          <w:szCs w:val="22"/>
        </w:rPr>
        <w:t>de 0.1</w:t>
      </w:r>
      <w:r w:rsidR="00237978" w:rsidRPr="00DB556E">
        <w:rPr>
          <w:rFonts w:cs="Times New Roman"/>
          <w:szCs w:val="22"/>
        </w:rPr>
        <w:t>% que</w:t>
      </w:r>
      <w:r w:rsidR="00F9152F" w:rsidRPr="00DB556E">
        <w:rPr>
          <w:rFonts w:cs="Times New Roman"/>
          <w:szCs w:val="22"/>
        </w:rPr>
        <w:t xml:space="preserve"> equivale a </w:t>
      </w:r>
      <w:r w:rsidR="00655A00" w:rsidRPr="00DB556E">
        <w:rPr>
          <w:rFonts w:cs="Times New Roman"/>
          <w:szCs w:val="22"/>
        </w:rPr>
        <w:t>Q18.9 millones) derivado a que</w:t>
      </w:r>
      <w:r w:rsidR="00F24A31" w:rsidRPr="00DB556E">
        <w:rPr>
          <w:rFonts w:cs="Times New Roman"/>
          <w:szCs w:val="22"/>
        </w:rPr>
        <w:t xml:space="preserve"> el presupuesto no fu</w:t>
      </w:r>
      <w:r w:rsidR="00491839" w:rsidRPr="00DB556E">
        <w:rPr>
          <w:rFonts w:cs="Times New Roman"/>
          <w:szCs w:val="22"/>
        </w:rPr>
        <w:t>e</w:t>
      </w:r>
      <w:r w:rsidR="00F24A31" w:rsidRPr="00DB556E">
        <w:rPr>
          <w:rFonts w:cs="Times New Roman"/>
          <w:szCs w:val="22"/>
        </w:rPr>
        <w:t xml:space="preserve"> aprobado </w:t>
      </w:r>
      <w:r w:rsidR="00491839" w:rsidRPr="00DB556E">
        <w:rPr>
          <w:rFonts w:cs="Times New Roman"/>
          <w:szCs w:val="22"/>
        </w:rPr>
        <w:t>por lo que hubo la necesidad de llevar a</w:t>
      </w:r>
      <w:r w:rsidR="002174ED" w:rsidRPr="00DB556E">
        <w:rPr>
          <w:rFonts w:cs="Times New Roman"/>
          <w:szCs w:val="22"/>
        </w:rPr>
        <w:t xml:space="preserve"> </w:t>
      </w:r>
      <w:r w:rsidR="00491839" w:rsidRPr="00DB556E">
        <w:rPr>
          <w:rFonts w:cs="Times New Roman"/>
          <w:szCs w:val="22"/>
        </w:rPr>
        <w:t>cabo readecuaciones presupuestarias.</w:t>
      </w:r>
      <w:r w:rsidR="00655A00" w:rsidRPr="00DB556E">
        <w:rPr>
          <w:rFonts w:cs="Times New Roman"/>
          <w:szCs w:val="22"/>
        </w:rPr>
        <w:t xml:space="preserve"> </w:t>
      </w:r>
    </w:p>
    <w:p w14:paraId="342F1DC8" w14:textId="77777777" w:rsidR="00393D7D" w:rsidRPr="00DB556E" w:rsidRDefault="00393D7D" w:rsidP="00CD34D6">
      <w:pPr>
        <w:rPr>
          <w:rFonts w:cs="Times New Roman"/>
          <w:szCs w:val="22"/>
        </w:rPr>
      </w:pPr>
    </w:p>
    <w:p w14:paraId="0E964445" w14:textId="5B21A81F" w:rsidR="00F77290" w:rsidRPr="00DB556E" w:rsidRDefault="00F77290" w:rsidP="00CD34D6">
      <w:pPr>
        <w:rPr>
          <w:rFonts w:cs="Times New Roman"/>
          <w:szCs w:val="22"/>
        </w:rPr>
      </w:pPr>
      <w:r w:rsidRPr="00DB556E">
        <w:rPr>
          <w:rFonts w:cs="Times New Roman"/>
          <w:szCs w:val="22"/>
        </w:rPr>
        <w:t>La cuenta económica que tuvo un mayor incremento</w:t>
      </w:r>
      <w:r w:rsidR="003B671B" w:rsidRPr="00DB556E">
        <w:rPr>
          <w:rFonts w:cs="Times New Roman"/>
          <w:szCs w:val="22"/>
        </w:rPr>
        <w:t xml:space="preserve"> son las donaciones, las cuales ascienden a un total de Q</w:t>
      </w:r>
      <w:r w:rsidR="00864A0C" w:rsidRPr="00DB556E">
        <w:rPr>
          <w:rFonts w:cs="Times New Roman"/>
          <w:szCs w:val="22"/>
        </w:rPr>
        <w:t>5,375.7 millones</w:t>
      </w:r>
      <w:r w:rsidR="000D4CB3" w:rsidRPr="00DB556E">
        <w:rPr>
          <w:rFonts w:cs="Times New Roman"/>
          <w:szCs w:val="22"/>
        </w:rPr>
        <w:t>,</w:t>
      </w:r>
      <w:r w:rsidR="00864A0C" w:rsidRPr="00DB556E">
        <w:rPr>
          <w:rFonts w:cs="Times New Roman"/>
          <w:szCs w:val="22"/>
        </w:rPr>
        <w:t xml:space="preserve"> siendo un aumento interanual de </w:t>
      </w:r>
      <w:r w:rsidR="00675F26" w:rsidRPr="00DB556E">
        <w:rPr>
          <w:rFonts w:cs="Times New Roman"/>
          <w:szCs w:val="22"/>
        </w:rPr>
        <w:t>30.6% (Q1,258.5 millones)</w:t>
      </w:r>
      <w:r w:rsidR="00B942CD" w:rsidRPr="00DB556E">
        <w:rPr>
          <w:rFonts w:cs="Times New Roman"/>
          <w:szCs w:val="22"/>
        </w:rPr>
        <w:t>.</w:t>
      </w:r>
      <w:r w:rsidR="00886728" w:rsidRPr="00DB556E">
        <w:rPr>
          <w:rFonts w:cs="Times New Roman"/>
          <w:szCs w:val="22"/>
        </w:rPr>
        <w:t xml:space="preserve"> Cabe señalar que</w:t>
      </w:r>
      <w:r w:rsidR="001030E8" w:rsidRPr="00DB556E">
        <w:rPr>
          <w:rFonts w:cs="Times New Roman"/>
          <w:szCs w:val="22"/>
        </w:rPr>
        <w:t xml:space="preserve"> las entidades </w:t>
      </w:r>
      <w:r w:rsidR="00771CC1" w:rsidRPr="00DB556E">
        <w:rPr>
          <w:rFonts w:cs="Times New Roman"/>
          <w:szCs w:val="22"/>
        </w:rPr>
        <w:t xml:space="preserve">a las cuales se les realizo el </w:t>
      </w:r>
      <w:r w:rsidR="0037674D" w:rsidRPr="00DB556E">
        <w:rPr>
          <w:rFonts w:cs="Times New Roman"/>
          <w:szCs w:val="22"/>
        </w:rPr>
        <w:t>mayor aumento en donaciones fueron</w:t>
      </w:r>
      <w:r w:rsidR="00B11841" w:rsidRPr="00DB556E">
        <w:rPr>
          <w:rFonts w:cs="Times New Roman"/>
          <w:szCs w:val="22"/>
        </w:rPr>
        <w:t>:</w:t>
      </w:r>
      <w:r w:rsidR="0037674D" w:rsidRPr="00DB556E">
        <w:rPr>
          <w:rFonts w:cs="Times New Roman"/>
          <w:szCs w:val="22"/>
        </w:rPr>
        <w:t xml:space="preserve"> el Ministerio Público</w:t>
      </w:r>
      <w:r w:rsidR="00C106F4" w:rsidRPr="00DB556E">
        <w:rPr>
          <w:rFonts w:cs="Times New Roman"/>
          <w:szCs w:val="22"/>
        </w:rPr>
        <w:t xml:space="preserve"> (</w:t>
      </w:r>
      <w:r w:rsidR="005C1962" w:rsidRPr="00DB556E">
        <w:rPr>
          <w:rFonts w:cs="Times New Roman"/>
          <w:szCs w:val="22"/>
        </w:rPr>
        <w:t>Q404.5 millones adicionales)</w:t>
      </w:r>
      <w:r w:rsidR="0012782F" w:rsidRPr="00DB556E">
        <w:rPr>
          <w:rFonts w:cs="Times New Roman"/>
          <w:szCs w:val="22"/>
        </w:rPr>
        <w:t>, el Tribunal Supremo Electoral</w:t>
      </w:r>
      <w:r w:rsidR="005C1962" w:rsidRPr="00DB556E">
        <w:rPr>
          <w:rFonts w:cs="Times New Roman"/>
          <w:szCs w:val="22"/>
        </w:rPr>
        <w:t xml:space="preserve"> (Q200.9 millones adicionales)</w:t>
      </w:r>
      <w:r w:rsidR="0012782F" w:rsidRPr="00DB556E">
        <w:rPr>
          <w:rFonts w:cs="Times New Roman"/>
          <w:szCs w:val="22"/>
        </w:rPr>
        <w:t xml:space="preserve"> y</w:t>
      </w:r>
      <w:r w:rsidR="00216CDE" w:rsidRPr="00DB556E">
        <w:rPr>
          <w:rFonts w:cs="Times New Roman"/>
          <w:szCs w:val="22"/>
        </w:rPr>
        <w:t xml:space="preserve"> el Organismo Judicial</w:t>
      </w:r>
      <w:r w:rsidR="005C1962" w:rsidRPr="00DB556E">
        <w:rPr>
          <w:rFonts w:cs="Times New Roman"/>
          <w:szCs w:val="22"/>
        </w:rPr>
        <w:t xml:space="preserve"> (</w:t>
      </w:r>
      <w:r w:rsidR="0089478B" w:rsidRPr="00DB556E">
        <w:rPr>
          <w:rFonts w:cs="Times New Roman"/>
          <w:szCs w:val="22"/>
        </w:rPr>
        <w:t>Q81.1 millones</w:t>
      </w:r>
      <w:r w:rsidR="00CA31D5" w:rsidRPr="00DB556E">
        <w:rPr>
          <w:rFonts w:cs="Times New Roman"/>
          <w:szCs w:val="22"/>
        </w:rPr>
        <w:t xml:space="preserve"> adicionales</w:t>
      </w:r>
      <w:r w:rsidR="0089478B" w:rsidRPr="00DB556E">
        <w:rPr>
          <w:rFonts w:cs="Times New Roman"/>
          <w:szCs w:val="22"/>
        </w:rPr>
        <w:t>)</w:t>
      </w:r>
      <w:r w:rsidR="00541C38" w:rsidRPr="00DB556E">
        <w:rPr>
          <w:rFonts w:cs="Times New Roman"/>
          <w:szCs w:val="22"/>
        </w:rPr>
        <w:t>.</w:t>
      </w:r>
      <w:r w:rsidR="004C5C36" w:rsidRPr="00DB556E">
        <w:rPr>
          <w:rFonts w:cs="Times New Roman"/>
          <w:szCs w:val="22"/>
        </w:rPr>
        <w:t xml:space="preserve"> </w:t>
      </w:r>
      <w:r w:rsidR="00541C38" w:rsidRPr="00DB556E">
        <w:rPr>
          <w:rFonts w:cs="Times New Roman"/>
          <w:szCs w:val="22"/>
        </w:rPr>
        <w:t>E</w:t>
      </w:r>
      <w:r w:rsidR="004C5C36" w:rsidRPr="00DB556E">
        <w:rPr>
          <w:rFonts w:cs="Times New Roman"/>
          <w:szCs w:val="22"/>
        </w:rPr>
        <w:t>n el caso del segundo</w:t>
      </w:r>
      <w:r w:rsidR="00D01AFF" w:rsidRPr="00DB556E">
        <w:rPr>
          <w:rFonts w:cs="Times New Roman"/>
          <w:szCs w:val="22"/>
        </w:rPr>
        <w:t xml:space="preserve"> de estos</w:t>
      </w:r>
      <w:r w:rsidR="00541C38" w:rsidRPr="00DB556E">
        <w:rPr>
          <w:rFonts w:cs="Times New Roman"/>
          <w:szCs w:val="22"/>
        </w:rPr>
        <w:t>,</w:t>
      </w:r>
      <w:r w:rsidR="00D01AFF" w:rsidRPr="00DB556E">
        <w:rPr>
          <w:rFonts w:cs="Times New Roman"/>
          <w:szCs w:val="22"/>
        </w:rPr>
        <w:t xml:space="preserve"> es oportuno </w:t>
      </w:r>
      <w:r w:rsidR="007314F8" w:rsidRPr="00DB556E">
        <w:rPr>
          <w:rFonts w:cs="Times New Roman"/>
          <w:szCs w:val="22"/>
        </w:rPr>
        <w:t xml:space="preserve">resaltar </w:t>
      </w:r>
      <w:r w:rsidR="005272F0" w:rsidRPr="00DB556E">
        <w:rPr>
          <w:rFonts w:cs="Times New Roman"/>
          <w:szCs w:val="22"/>
        </w:rPr>
        <w:t xml:space="preserve">que dentro del Presupuesto Aprobado se considera aparte del aporte institucional y el aporte de deuda política, Q500 millones para el financiamiento de las Elecciones Generales del próximo año por lo que se espera </w:t>
      </w:r>
      <w:r w:rsidR="00CA31D5" w:rsidRPr="00DB556E">
        <w:rPr>
          <w:rFonts w:cs="Times New Roman"/>
          <w:szCs w:val="22"/>
        </w:rPr>
        <w:t>que sus donaciones crezcan de forma importante durante el año.</w:t>
      </w:r>
      <w:r w:rsidR="0012782F" w:rsidRPr="00DB556E">
        <w:rPr>
          <w:rFonts w:cs="Times New Roman"/>
          <w:szCs w:val="22"/>
        </w:rPr>
        <w:t xml:space="preserve"> </w:t>
      </w:r>
    </w:p>
    <w:p w14:paraId="35C5D0E7" w14:textId="77777777" w:rsidR="00C47113" w:rsidRPr="00DB556E" w:rsidRDefault="00C47113" w:rsidP="00CD34D6">
      <w:pPr>
        <w:rPr>
          <w:rFonts w:cs="Times New Roman"/>
          <w:szCs w:val="22"/>
        </w:rPr>
      </w:pPr>
    </w:p>
    <w:p w14:paraId="00EBEC7D" w14:textId="15F8DC2F" w:rsidR="001965C3" w:rsidRPr="00DB556E" w:rsidRDefault="00E57C95" w:rsidP="00FB5489">
      <w:r w:rsidRPr="00DB556E">
        <w:t xml:space="preserve">El uso de bienes y servicios </w:t>
      </w:r>
      <w:r w:rsidR="00286016" w:rsidRPr="00DB556E">
        <w:t>asciende a Q</w:t>
      </w:r>
      <w:r w:rsidR="002A6C69" w:rsidRPr="00DB556E">
        <w:t>2,481.5 millones</w:t>
      </w:r>
      <w:r w:rsidR="00C7215B" w:rsidRPr="00DB556E">
        <w:t>,</w:t>
      </w:r>
      <w:r w:rsidR="002A6C69" w:rsidRPr="00DB556E">
        <w:t xml:space="preserve"> con un aumento de 48.8</w:t>
      </w:r>
      <w:r w:rsidR="00F5468C" w:rsidRPr="00DB556E">
        <w:t>% (Q813.6</w:t>
      </w:r>
      <w:r w:rsidR="002A6C69" w:rsidRPr="00DB556E">
        <w:t xml:space="preserve"> millones</w:t>
      </w:r>
      <w:r w:rsidR="00542127" w:rsidRPr="00DB556E">
        <w:t>)</w:t>
      </w:r>
      <w:r w:rsidR="001E2C3C" w:rsidRPr="00DB556E">
        <w:t xml:space="preserve"> explicado </w:t>
      </w:r>
      <w:r w:rsidR="00B6589C" w:rsidRPr="00DB556E">
        <w:t xml:space="preserve">principalmente </w:t>
      </w:r>
      <w:r w:rsidR="001E2C3C" w:rsidRPr="00DB556E">
        <w:t xml:space="preserve">por compras del Ministerio de Salud </w:t>
      </w:r>
      <w:r w:rsidR="00D64F69" w:rsidRPr="00DB556E">
        <w:t>Pública y Asistencia Social en productos medicinales y farmacéuticos</w:t>
      </w:r>
      <w:r w:rsidR="007119C8" w:rsidRPr="00DB556E">
        <w:t>, vacunas COVID-19</w:t>
      </w:r>
      <w:r w:rsidR="00956A60" w:rsidRPr="00DB556E">
        <w:t>, servicios médicos y sanitarios, útiles menores, suministros médicos y quirúrgicos</w:t>
      </w:r>
      <w:r w:rsidR="001965C3" w:rsidRPr="00DB556E">
        <w:t xml:space="preserve"> y que en su conjunto </w:t>
      </w:r>
      <w:r w:rsidR="009E70E3" w:rsidRPr="00DB556E">
        <w:t>representa un aumento de Q503.1 millones</w:t>
      </w:r>
      <w:r w:rsidR="00B05EEE" w:rsidRPr="00DB556E">
        <w:t>,</w:t>
      </w:r>
      <w:r w:rsidR="009E70E3" w:rsidRPr="00DB556E">
        <w:t xml:space="preserve"> adicionales a los observados en 2021</w:t>
      </w:r>
      <w:r w:rsidR="00AB1865" w:rsidRPr="00DB556E">
        <w:t xml:space="preserve"> para esta cuenta económica</w:t>
      </w:r>
      <w:r w:rsidR="009E70E3" w:rsidRPr="00DB556E">
        <w:t>.</w:t>
      </w:r>
    </w:p>
    <w:p w14:paraId="75DC1E38" w14:textId="77777777" w:rsidR="00A6402B" w:rsidRPr="00DB556E" w:rsidRDefault="00A6402B" w:rsidP="00FB5489">
      <w:r w:rsidRPr="00DB556E">
        <w:rPr>
          <w:rFonts w:cs="Times New Roman"/>
          <w:noProof/>
          <w:szCs w:val="22"/>
          <w:lang w:eastAsia="es-GT"/>
        </w:rPr>
        <w:drawing>
          <wp:inline distT="0" distB="0" distL="0" distR="0" wp14:anchorId="296D0802" wp14:editId="636DF8EE">
            <wp:extent cx="5960745" cy="2581275"/>
            <wp:effectExtent l="0" t="0" r="190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8804DFF" w14:textId="7DD4699E" w:rsidR="005070CB" w:rsidRPr="00DB556E" w:rsidRDefault="003612E9" w:rsidP="00FB5489">
      <w:pPr>
        <w:rPr>
          <w:rFonts w:cs="Times New Roman"/>
          <w:szCs w:val="22"/>
        </w:rPr>
      </w:pPr>
      <w:r w:rsidRPr="00DB556E">
        <w:rPr>
          <w:rFonts w:cs="Times New Roman"/>
          <w:szCs w:val="22"/>
        </w:rPr>
        <w:lastRenderedPageBreak/>
        <w:t xml:space="preserve">La categoría de Otros </w:t>
      </w:r>
      <w:r w:rsidR="00DE4D0A" w:rsidRPr="00DB556E">
        <w:rPr>
          <w:rFonts w:cs="Times New Roman"/>
          <w:szCs w:val="22"/>
        </w:rPr>
        <w:t>G</w:t>
      </w:r>
      <w:r w:rsidRPr="00DB556E">
        <w:rPr>
          <w:rFonts w:cs="Times New Roman"/>
          <w:szCs w:val="22"/>
        </w:rPr>
        <w:t xml:space="preserve">astos </w:t>
      </w:r>
      <w:r w:rsidR="00074C38" w:rsidRPr="00DB556E">
        <w:rPr>
          <w:rFonts w:cs="Times New Roman"/>
          <w:szCs w:val="22"/>
        </w:rPr>
        <w:t>se encuentra entorno a Q1,417.2 millones</w:t>
      </w:r>
      <w:r w:rsidR="00594AB3" w:rsidRPr="00DB556E">
        <w:rPr>
          <w:rFonts w:cs="Times New Roman"/>
          <w:szCs w:val="22"/>
        </w:rPr>
        <w:t xml:space="preserve">, este </w:t>
      </w:r>
      <w:r w:rsidR="003D3511" w:rsidRPr="00DB556E">
        <w:rPr>
          <w:rFonts w:cs="Times New Roman"/>
          <w:szCs w:val="22"/>
        </w:rPr>
        <w:t xml:space="preserve">es </w:t>
      </w:r>
      <w:r w:rsidR="00594AB3" w:rsidRPr="00DB556E">
        <w:rPr>
          <w:rFonts w:cs="Times New Roman"/>
          <w:szCs w:val="22"/>
        </w:rPr>
        <w:t>un crecimiento de 28.4% (Q313.5 millones)</w:t>
      </w:r>
      <w:r w:rsidR="005070CB" w:rsidRPr="00DB556E">
        <w:rPr>
          <w:rFonts w:cs="Times New Roman"/>
          <w:szCs w:val="22"/>
        </w:rPr>
        <w:t xml:space="preserve"> respecto al mismo periodo del año previo</w:t>
      </w:r>
      <w:r w:rsidR="00025B90" w:rsidRPr="00DB556E">
        <w:rPr>
          <w:rFonts w:cs="Times New Roman"/>
          <w:szCs w:val="22"/>
        </w:rPr>
        <w:t xml:space="preserve"> y entre esta cuenta la </w:t>
      </w:r>
      <w:r w:rsidR="0003257D" w:rsidRPr="00DB556E">
        <w:rPr>
          <w:rFonts w:cs="Times New Roman"/>
          <w:szCs w:val="22"/>
        </w:rPr>
        <w:t>más</w:t>
      </w:r>
      <w:r w:rsidR="00025B90" w:rsidRPr="00DB556E">
        <w:rPr>
          <w:rFonts w:cs="Times New Roman"/>
          <w:szCs w:val="22"/>
        </w:rPr>
        <w:t xml:space="preserve"> importante son las transferencias no clasificadas en otra partida</w:t>
      </w:r>
      <w:r w:rsidR="00D20246" w:rsidRPr="00DB556E">
        <w:rPr>
          <w:rFonts w:cs="Times New Roman"/>
          <w:szCs w:val="22"/>
        </w:rPr>
        <w:t xml:space="preserve"> que ascienden a </w:t>
      </w:r>
      <w:r w:rsidR="003D3511" w:rsidRPr="00DB556E">
        <w:rPr>
          <w:rFonts w:cs="Times New Roman"/>
          <w:szCs w:val="22"/>
        </w:rPr>
        <w:t>Q</w:t>
      </w:r>
      <w:r w:rsidR="00106E19" w:rsidRPr="00DB556E">
        <w:rPr>
          <w:rFonts w:cs="Times New Roman"/>
          <w:szCs w:val="22"/>
        </w:rPr>
        <w:t>1,401.6</w:t>
      </w:r>
      <w:r w:rsidR="003D3511" w:rsidRPr="00DB556E">
        <w:rPr>
          <w:rFonts w:cs="Times New Roman"/>
          <w:szCs w:val="22"/>
        </w:rPr>
        <w:t xml:space="preserve"> millones</w:t>
      </w:r>
      <w:r w:rsidR="00472FBF" w:rsidRPr="00DB556E">
        <w:rPr>
          <w:rFonts w:cs="Times New Roman"/>
          <w:szCs w:val="22"/>
        </w:rPr>
        <w:t>,</w:t>
      </w:r>
      <w:r w:rsidR="00106E19" w:rsidRPr="00DB556E">
        <w:rPr>
          <w:rFonts w:cs="Times New Roman"/>
          <w:szCs w:val="22"/>
        </w:rPr>
        <w:t xml:space="preserve"> con un aumento interanual de 33.8% (Q353.8 millones)</w:t>
      </w:r>
      <w:r w:rsidR="001C3CED" w:rsidRPr="00DB556E">
        <w:rPr>
          <w:rFonts w:cs="Times New Roman"/>
          <w:szCs w:val="22"/>
        </w:rPr>
        <w:t xml:space="preserve"> que se </w:t>
      </w:r>
      <w:r w:rsidR="00B34982" w:rsidRPr="00DB556E">
        <w:rPr>
          <w:rFonts w:cs="Times New Roman"/>
          <w:szCs w:val="22"/>
        </w:rPr>
        <w:t xml:space="preserve">explica </w:t>
      </w:r>
      <w:r w:rsidR="00A41014" w:rsidRPr="00DB556E">
        <w:rPr>
          <w:rFonts w:cs="Times New Roman"/>
          <w:szCs w:val="22"/>
        </w:rPr>
        <w:t xml:space="preserve">por </w:t>
      </w:r>
      <w:r w:rsidR="00DB0123" w:rsidRPr="00DB556E">
        <w:rPr>
          <w:rFonts w:cs="Times New Roman"/>
          <w:szCs w:val="22"/>
        </w:rPr>
        <w:t xml:space="preserve">un aumento de </w:t>
      </w:r>
      <w:r w:rsidR="00E35049" w:rsidRPr="00DB556E">
        <w:rPr>
          <w:rFonts w:cs="Times New Roman"/>
          <w:szCs w:val="22"/>
        </w:rPr>
        <w:t xml:space="preserve">Q300.1 millones adicionales en </w:t>
      </w:r>
      <w:r w:rsidR="00A41014" w:rsidRPr="00DB556E">
        <w:rPr>
          <w:rFonts w:cs="Times New Roman"/>
          <w:szCs w:val="22"/>
        </w:rPr>
        <w:t xml:space="preserve">transferencias a otras instituciones </w:t>
      </w:r>
      <w:r w:rsidR="00DA51E6" w:rsidRPr="00DB556E">
        <w:rPr>
          <w:rFonts w:cs="Times New Roman"/>
          <w:szCs w:val="22"/>
        </w:rPr>
        <w:t>sin fines de lucro</w:t>
      </w:r>
      <w:r w:rsidR="00727C3E" w:rsidRPr="00DB556E">
        <w:rPr>
          <w:rFonts w:cs="Times New Roman"/>
          <w:szCs w:val="22"/>
        </w:rPr>
        <w:t xml:space="preserve"> que realiza el Ministerio de</w:t>
      </w:r>
      <w:r w:rsidR="0092491F" w:rsidRPr="00DB556E">
        <w:rPr>
          <w:rFonts w:cs="Times New Roman"/>
          <w:szCs w:val="22"/>
        </w:rPr>
        <w:t xml:space="preserve"> Educación</w:t>
      </w:r>
      <w:r w:rsidR="005328E6" w:rsidRPr="00DB556E">
        <w:rPr>
          <w:rFonts w:cs="Times New Roman"/>
          <w:szCs w:val="22"/>
        </w:rPr>
        <w:t>.</w:t>
      </w:r>
    </w:p>
    <w:p w14:paraId="0D3CF433" w14:textId="77777777" w:rsidR="005070CB" w:rsidRPr="00DB556E" w:rsidRDefault="005070CB" w:rsidP="00FB5489">
      <w:pPr>
        <w:rPr>
          <w:rFonts w:cs="Times New Roman"/>
          <w:szCs w:val="22"/>
        </w:rPr>
      </w:pPr>
    </w:p>
    <w:p w14:paraId="767103B8" w14:textId="7DE03B12" w:rsidR="00DB1DFB" w:rsidRPr="00DB556E" w:rsidRDefault="006B5691" w:rsidP="00FB5489">
      <w:pPr>
        <w:rPr>
          <w:rFonts w:cs="Times New Roman"/>
          <w:szCs w:val="22"/>
        </w:rPr>
      </w:pPr>
      <w:r w:rsidRPr="00DB556E">
        <w:rPr>
          <w:rFonts w:cs="Times New Roman"/>
          <w:szCs w:val="22"/>
        </w:rPr>
        <w:t xml:space="preserve">El gasto </w:t>
      </w:r>
      <w:r w:rsidR="0003257D" w:rsidRPr="00DB556E">
        <w:rPr>
          <w:rFonts w:cs="Times New Roman"/>
          <w:szCs w:val="22"/>
        </w:rPr>
        <w:t>en</w:t>
      </w:r>
      <w:r w:rsidRPr="00DB556E">
        <w:rPr>
          <w:rFonts w:cs="Times New Roman"/>
          <w:szCs w:val="22"/>
        </w:rPr>
        <w:t xml:space="preserve"> </w:t>
      </w:r>
      <w:r w:rsidR="0003257D" w:rsidRPr="00DB556E">
        <w:rPr>
          <w:rFonts w:cs="Times New Roman"/>
          <w:szCs w:val="22"/>
        </w:rPr>
        <w:t>intereses</w:t>
      </w:r>
      <w:r w:rsidRPr="00DB556E">
        <w:rPr>
          <w:rFonts w:cs="Times New Roman"/>
          <w:szCs w:val="22"/>
        </w:rPr>
        <w:t xml:space="preserve"> se </w:t>
      </w:r>
      <w:r w:rsidR="00FB069A" w:rsidRPr="00DB556E">
        <w:rPr>
          <w:rFonts w:cs="Times New Roman"/>
          <w:szCs w:val="22"/>
        </w:rPr>
        <w:t>sitúa</w:t>
      </w:r>
      <w:r w:rsidRPr="00DB556E">
        <w:rPr>
          <w:rFonts w:cs="Times New Roman"/>
          <w:szCs w:val="22"/>
        </w:rPr>
        <w:t xml:space="preserve"> </w:t>
      </w:r>
      <w:r w:rsidR="00FB069A" w:rsidRPr="00DB556E">
        <w:rPr>
          <w:rFonts w:cs="Times New Roman"/>
          <w:szCs w:val="22"/>
        </w:rPr>
        <w:t>en Q2,055.0 millones</w:t>
      </w:r>
      <w:r w:rsidR="00C27ECD" w:rsidRPr="00DB556E">
        <w:rPr>
          <w:rFonts w:cs="Times New Roman"/>
          <w:szCs w:val="22"/>
        </w:rPr>
        <w:t>,</w:t>
      </w:r>
      <w:r w:rsidR="00147D82" w:rsidRPr="00DB556E">
        <w:rPr>
          <w:rFonts w:cs="Times New Roman"/>
          <w:szCs w:val="22"/>
        </w:rPr>
        <w:t xml:space="preserve"> con un incremento interanual de 13</w:t>
      </w:r>
      <w:r w:rsidR="00614929" w:rsidRPr="00DB556E">
        <w:rPr>
          <w:rFonts w:cs="Times New Roman"/>
          <w:szCs w:val="22"/>
        </w:rPr>
        <w:t>.</w:t>
      </w:r>
      <w:r w:rsidR="00147D82" w:rsidRPr="00DB556E">
        <w:rPr>
          <w:rFonts w:cs="Times New Roman"/>
          <w:szCs w:val="22"/>
        </w:rPr>
        <w:t>4% (Q243.3 millones)</w:t>
      </w:r>
      <w:r w:rsidR="00DE209F" w:rsidRPr="00DB556E">
        <w:rPr>
          <w:rFonts w:cs="Times New Roman"/>
          <w:szCs w:val="22"/>
        </w:rPr>
        <w:t xml:space="preserve"> derivado de</w:t>
      </w:r>
      <w:r w:rsidR="00C27ECD" w:rsidRPr="00DB556E">
        <w:rPr>
          <w:rFonts w:cs="Times New Roman"/>
          <w:szCs w:val="22"/>
        </w:rPr>
        <w:t>l aumento en el stock de la deuda bonificada</w:t>
      </w:r>
      <w:r w:rsidR="00E80F28" w:rsidRPr="00DB556E">
        <w:rPr>
          <w:rFonts w:cs="Times New Roman"/>
          <w:szCs w:val="22"/>
        </w:rPr>
        <w:t xml:space="preserve"> </w:t>
      </w:r>
      <w:r w:rsidR="00CB48D0" w:rsidRPr="00DB556E">
        <w:rPr>
          <w:rFonts w:cs="Times New Roman"/>
          <w:szCs w:val="22"/>
        </w:rPr>
        <w:t xml:space="preserve">que se gestó </w:t>
      </w:r>
      <w:r w:rsidR="00916D28" w:rsidRPr="00DB556E">
        <w:rPr>
          <w:rFonts w:cs="Times New Roman"/>
          <w:szCs w:val="22"/>
        </w:rPr>
        <w:t>en años anteriores. Por su parte</w:t>
      </w:r>
      <w:r w:rsidR="00CB48D0" w:rsidRPr="00DB556E">
        <w:rPr>
          <w:rFonts w:cs="Times New Roman"/>
          <w:szCs w:val="22"/>
        </w:rPr>
        <w:t>,</w:t>
      </w:r>
      <w:r w:rsidR="00916D28" w:rsidRPr="00DB556E">
        <w:rPr>
          <w:rFonts w:cs="Times New Roman"/>
          <w:szCs w:val="22"/>
        </w:rPr>
        <w:t xml:space="preserve"> las remuneraciones a los empleados </w:t>
      </w:r>
      <w:r w:rsidR="004E5B3F" w:rsidRPr="00DB556E">
        <w:rPr>
          <w:rFonts w:cs="Times New Roman"/>
          <w:szCs w:val="22"/>
        </w:rPr>
        <w:t xml:space="preserve">ascienden a Q7,443.4 millones, siendo un aumento de </w:t>
      </w:r>
      <w:r w:rsidR="004419E8" w:rsidRPr="00DB556E">
        <w:rPr>
          <w:rFonts w:cs="Times New Roman"/>
          <w:szCs w:val="22"/>
        </w:rPr>
        <w:t>2.9% (</w:t>
      </w:r>
      <w:r w:rsidR="004E5B3F" w:rsidRPr="00DB556E">
        <w:rPr>
          <w:rFonts w:cs="Times New Roman"/>
          <w:szCs w:val="22"/>
        </w:rPr>
        <w:t>Q210.8</w:t>
      </w:r>
      <w:r w:rsidR="004419E8" w:rsidRPr="00DB556E">
        <w:rPr>
          <w:rFonts w:cs="Times New Roman"/>
          <w:szCs w:val="22"/>
        </w:rPr>
        <w:t xml:space="preserve"> millones) respecto al año previo.</w:t>
      </w:r>
    </w:p>
    <w:p w14:paraId="68A896B6" w14:textId="77777777" w:rsidR="00FB5489" w:rsidRPr="00DB556E" w:rsidRDefault="00FB5489" w:rsidP="00FB5489">
      <w:pPr>
        <w:rPr>
          <w:rFonts w:cs="Times New Roman"/>
          <w:szCs w:val="22"/>
        </w:rPr>
      </w:pPr>
    </w:p>
    <w:p w14:paraId="26AAC179" w14:textId="619F083C" w:rsidR="003F2ABD" w:rsidRPr="00DB556E" w:rsidRDefault="004419E8" w:rsidP="00FB5489">
      <w:pPr>
        <w:rPr>
          <w:rFonts w:cs="Times New Roman"/>
          <w:szCs w:val="22"/>
        </w:rPr>
      </w:pPr>
      <w:r w:rsidRPr="00DB556E">
        <w:rPr>
          <w:rFonts w:cs="Times New Roman"/>
          <w:szCs w:val="22"/>
        </w:rPr>
        <w:t>Los subsidios s</w:t>
      </w:r>
      <w:r w:rsidR="00D90781" w:rsidRPr="00DB556E">
        <w:rPr>
          <w:rFonts w:cs="Times New Roman"/>
          <w:szCs w:val="22"/>
        </w:rPr>
        <w:t xml:space="preserve">on de </w:t>
      </w:r>
      <w:r w:rsidR="009663FB" w:rsidRPr="00DB556E">
        <w:rPr>
          <w:rFonts w:cs="Times New Roman"/>
          <w:szCs w:val="22"/>
        </w:rPr>
        <w:t>Q</w:t>
      </w:r>
      <w:r w:rsidR="009663FB" w:rsidRPr="00DB556E">
        <w:t>1</w:t>
      </w:r>
      <w:r w:rsidR="009663FB" w:rsidRPr="00DB556E">
        <w:rPr>
          <w:rFonts w:cs="Times New Roman"/>
          <w:szCs w:val="22"/>
        </w:rPr>
        <w:t>54.6 millones</w:t>
      </w:r>
      <w:r w:rsidR="00CB48D0" w:rsidRPr="00DB556E">
        <w:rPr>
          <w:rFonts w:cs="Times New Roman"/>
          <w:szCs w:val="22"/>
        </w:rPr>
        <w:t>,</w:t>
      </w:r>
      <w:r w:rsidR="009663FB" w:rsidRPr="00DB556E">
        <w:rPr>
          <w:rFonts w:cs="Times New Roman"/>
          <w:szCs w:val="22"/>
        </w:rPr>
        <w:t xml:space="preserve"> con un incremento de </w:t>
      </w:r>
      <w:r w:rsidR="00420177" w:rsidRPr="00DB556E">
        <w:rPr>
          <w:rFonts w:cs="Times New Roman"/>
          <w:szCs w:val="22"/>
        </w:rPr>
        <w:t>3,077% (Q</w:t>
      </w:r>
      <w:r w:rsidR="00FF37E1" w:rsidRPr="00DB556E">
        <w:rPr>
          <w:rFonts w:cs="Times New Roman"/>
          <w:szCs w:val="22"/>
        </w:rPr>
        <w:t xml:space="preserve">149.8 </w:t>
      </w:r>
      <w:r w:rsidR="00420177" w:rsidRPr="00DB556E">
        <w:rPr>
          <w:rFonts w:cs="Times New Roman"/>
          <w:szCs w:val="22"/>
        </w:rPr>
        <w:t>millones</w:t>
      </w:r>
      <w:r w:rsidR="00FF37E1" w:rsidRPr="00DB556E">
        <w:rPr>
          <w:rFonts w:cs="Times New Roman"/>
          <w:szCs w:val="22"/>
        </w:rPr>
        <w:t xml:space="preserve">) que se produce </w:t>
      </w:r>
      <w:r w:rsidR="003D4319" w:rsidRPr="00DB556E">
        <w:rPr>
          <w:rFonts w:cs="Times New Roman"/>
          <w:szCs w:val="22"/>
        </w:rPr>
        <w:t xml:space="preserve">principalmente </w:t>
      </w:r>
      <w:r w:rsidR="00FF37E1" w:rsidRPr="00DB556E">
        <w:rPr>
          <w:rFonts w:cs="Times New Roman"/>
          <w:szCs w:val="22"/>
        </w:rPr>
        <w:t xml:space="preserve">por </w:t>
      </w:r>
      <w:r w:rsidR="008F0374" w:rsidRPr="00DB556E">
        <w:rPr>
          <w:rFonts w:cs="Times New Roman"/>
          <w:szCs w:val="22"/>
        </w:rPr>
        <w:t xml:space="preserve">transferencias </w:t>
      </w:r>
      <w:r w:rsidR="005E52B8" w:rsidRPr="00DB556E">
        <w:rPr>
          <w:rFonts w:cs="Times New Roman"/>
          <w:szCs w:val="22"/>
        </w:rPr>
        <w:t>otorgadas</w:t>
      </w:r>
      <w:r w:rsidR="008F0374" w:rsidRPr="00DB556E">
        <w:rPr>
          <w:rFonts w:cs="Times New Roman"/>
          <w:szCs w:val="22"/>
        </w:rPr>
        <w:t xml:space="preserve"> </w:t>
      </w:r>
      <w:r w:rsidR="00D32D30" w:rsidRPr="00DB556E">
        <w:rPr>
          <w:rFonts w:cs="Times New Roman"/>
          <w:szCs w:val="22"/>
        </w:rPr>
        <w:t xml:space="preserve">al sector privado </w:t>
      </w:r>
      <w:r w:rsidR="003D0F82" w:rsidRPr="00DB556E">
        <w:rPr>
          <w:rFonts w:cs="Times New Roman"/>
          <w:szCs w:val="22"/>
        </w:rPr>
        <w:t>desde</w:t>
      </w:r>
      <w:r w:rsidR="00D32D30" w:rsidRPr="00DB556E">
        <w:rPr>
          <w:rFonts w:cs="Times New Roman"/>
          <w:szCs w:val="22"/>
        </w:rPr>
        <w:t xml:space="preserve"> </w:t>
      </w:r>
      <w:r w:rsidR="00311ED5" w:rsidRPr="00DB556E">
        <w:rPr>
          <w:rFonts w:cs="Times New Roman"/>
          <w:szCs w:val="22"/>
        </w:rPr>
        <w:t>el Ministerio de Energía y Minas</w:t>
      </w:r>
      <w:r w:rsidR="00D32D30" w:rsidRPr="00DB556E">
        <w:rPr>
          <w:rFonts w:cs="Times New Roman"/>
          <w:szCs w:val="22"/>
        </w:rPr>
        <w:t xml:space="preserve"> </w:t>
      </w:r>
      <w:r w:rsidR="009117B2" w:rsidRPr="00DB556E">
        <w:rPr>
          <w:rFonts w:cs="Times New Roman"/>
          <w:szCs w:val="22"/>
        </w:rPr>
        <w:t>las cuales son</w:t>
      </w:r>
      <w:r w:rsidR="003D4319" w:rsidRPr="00DB556E">
        <w:rPr>
          <w:rFonts w:cs="Times New Roman"/>
          <w:szCs w:val="22"/>
        </w:rPr>
        <w:t xml:space="preserve"> medidas adoptadas</w:t>
      </w:r>
      <w:r w:rsidR="00E56966" w:rsidRPr="00DB556E">
        <w:rPr>
          <w:rFonts w:cs="Times New Roman"/>
          <w:szCs w:val="22"/>
        </w:rPr>
        <w:t xml:space="preserve"> para subsidiar el precio d</w:t>
      </w:r>
      <w:r w:rsidR="003F2ABD" w:rsidRPr="00DB556E">
        <w:rPr>
          <w:rFonts w:cs="Times New Roman"/>
          <w:szCs w:val="22"/>
        </w:rPr>
        <w:t>el gas propano</w:t>
      </w:r>
      <w:r w:rsidR="009117B2" w:rsidRPr="00DB556E">
        <w:rPr>
          <w:rFonts w:cs="Times New Roman"/>
          <w:szCs w:val="22"/>
        </w:rPr>
        <w:t xml:space="preserve"> y apoyar a las familias guatemaltecas</w:t>
      </w:r>
      <w:r w:rsidR="00C0486A" w:rsidRPr="00DB556E">
        <w:rPr>
          <w:rFonts w:cs="Times New Roman"/>
          <w:szCs w:val="22"/>
        </w:rPr>
        <w:t xml:space="preserve"> ante el incremento de los precios internacionales</w:t>
      </w:r>
      <w:r w:rsidR="003F2ABD" w:rsidRPr="00DB556E">
        <w:rPr>
          <w:rFonts w:cs="Times New Roman"/>
          <w:szCs w:val="22"/>
        </w:rPr>
        <w:t>.</w:t>
      </w:r>
    </w:p>
    <w:p w14:paraId="7FCD145F" w14:textId="77777777" w:rsidR="003F2ABD" w:rsidRPr="00DB556E" w:rsidRDefault="003F2ABD" w:rsidP="00FB5489">
      <w:pPr>
        <w:rPr>
          <w:rFonts w:cs="Times New Roman"/>
          <w:szCs w:val="22"/>
        </w:rPr>
      </w:pPr>
    </w:p>
    <w:p w14:paraId="79938369" w14:textId="77777777" w:rsidR="004419E8" w:rsidRPr="00DB556E" w:rsidRDefault="003F2ABD" w:rsidP="00FB5489">
      <w:pPr>
        <w:rPr>
          <w:rFonts w:cs="Times New Roman"/>
          <w:szCs w:val="22"/>
        </w:rPr>
      </w:pPr>
      <w:r w:rsidRPr="00DB556E">
        <w:rPr>
          <w:rFonts w:cs="Times New Roman"/>
          <w:szCs w:val="22"/>
        </w:rPr>
        <w:t xml:space="preserve">Por </w:t>
      </w:r>
      <w:r w:rsidR="00810D0B" w:rsidRPr="00DB556E">
        <w:rPr>
          <w:rFonts w:cs="Times New Roman"/>
          <w:szCs w:val="22"/>
        </w:rPr>
        <w:t>último</w:t>
      </w:r>
      <w:r w:rsidRPr="00DB556E">
        <w:rPr>
          <w:rFonts w:cs="Times New Roman"/>
          <w:szCs w:val="22"/>
        </w:rPr>
        <w:t>, las prestaciones sociales</w:t>
      </w:r>
      <w:r w:rsidR="00810D0B" w:rsidRPr="00DB556E">
        <w:rPr>
          <w:rFonts w:cs="Times New Roman"/>
          <w:szCs w:val="22"/>
        </w:rPr>
        <w:t xml:space="preserve"> </w:t>
      </w:r>
      <w:r w:rsidR="00DC18AC" w:rsidRPr="00DB556E">
        <w:rPr>
          <w:rFonts w:cs="Times New Roman"/>
          <w:szCs w:val="22"/>
        </w:rPr>
        <w:t xml:space="preserve">se </w:t>
      </w:r>
      <w:r w:rsidR="00810D0B" w:rsidRPr="00DB556E">
        <w:rPr>
          <w:rFonts w:cs="Times New Roman"/>
          <w:szCs w:val="22"/>
        </w:rPr>
        <w:t xml:space="preserve">situaron en </w:t>
      </w:r>
      <w:r w:rsidR="00903AA8" w:rsidRPr="00DB556E">
        <w:rPr>
          <w:rFonts w:cs="Times New Roman"/>
          <w:szCs w:val="22"/>
        </w:rPr>
        <w:t>Q1,349.9 millones</w:t>
      </w:r>
      <w:r w:rsidR="006955B2" w:rsidRPr="00DB556E">
        <w:rPr>
          <w:rFonts w:cs="Times New Roman"/>
          <w:szCs w:val="22"/>
        </w:rPr>
        <w:t xml:space="preserve"> siendo un incremento respecto al año previo de 6.1% (Q77.2 millones)</w:t>
      </w:r>
      <w:r w:rsidR="00E62338" w:rsidRPr="00DB556E">
        <w:rPr>
          <w:rFonts w:cs="Times New Roman"/>
          <w:szCs w:val="22"/>
        </w:rPr>
        <w:t>.</w:t>
      </w:r>
    </w:p>
    <w:p w14:paraId="2B253993" w14:textId="77777777" w:rsidR="00603AA0" w:rsidRPr="00DB556E" w:rsidRDefault="00603AA0" w:rsidP="00C13640">
      <w:pPr>
        <w:rPr>
          <w:rFonts w:cs="Times New Roman"/>
          <w:sz w:val="16"/>
          <w:szCs w:val="22"/>
          <w:lang w:val="es-MX"/>
        </w:rPr>
      </w:pPr>
    </w:p>
    <w:p w14:paraId="4E1E7B91" w14:textId="77777777" w:rsidR="008B2529" w:rsidRPr="00DB556E" w:rsidRDefault="006122C1" w:rsidP="008B2529">
      <w:pPr>
        <w:pStyle w:val="Prrafodelista"/>
        <w:numPr>
          <w:ilvl w:val="0"/>
          <w:numId w:val="1"/>
        </w:numPr>
        <w:ind w:left="426" w:hanging="426"/>
        <w:outlineLvl w:val="0"/>
        <w:rPr>
          <w:rFonts w:cs="Times New Roman"/>
          <w:b/>
          <w:sz w:val="24"/>
          <w:lang w:val="es-MX"/>
        </w:rPr>
      </w:pPr>
      <w:bookmarkStart w:id="472" w:name="_Toc42023961"/>
      <w:bookmarkStart w:id="473" w:name="_Toc42024013"/>
      <w:bookmarkStart w:id="474" w:name="_Toc102477794"/>
      <w:bookmarkStart w:id="475" w:name="_Toc411347499"/>
      <w:bookmarkEnd w:id="472"/>
      <w:bookmarkEnd w:id="473"/>
      <w:r w:rsidRPr="00DB556E">
        <w:rPr>
          <w:rFonts w:cs="Times New Roman"/>
          <w:b/>
          <w:sz w:val="24"/>
          <w:lang w:val="es-MX"/>
        </w:rPr>
        <w:t xml:space="preserve">Transacciones en Activos </w:t>
      </w:r>
      <w:r w:rsidR="00F4077C" w:rsidRPr="00DB556E">
        <w:rPr>
          <w:rFonts w:cs="Times New Roman"/>
          <w:b/>
          <w:sz w:val="24"/>
          <w:lang w:val="es-MX"/>
        </w:rPr>
        <w:t>No Financieros</w:t>
      </w:r>
      <w:bookmarkEnd w:id="474"/>
    </w:p>
    <w:p w14:paraId="0277483D" w14:textId="77777777" w:rsidR="00A72A8F" w:rsidRPr="00DB556E" w:rsidRDefault="006E4C13" w:rsidP="00C17472">
      <w:pPr>
        <w:rPr>
          <w:rFonts w:cs="Times New Roman"/>
          <w:sz w:val="24"/>
          <w:lang w:val="es-MX"/>
        </w:rPr>
      </w:pPr>
      <w:r w:rsidRPr="00DB556E">
        <w:rPr>
          <w:rFonts w:eastAsiaTheme="majorEastAsia"/>
          <w:noProof/>
          <w:lang w:eastAsia="es-GT"/>
        </w:rPr>
        <w:drawing>
          <wp:inline distT="0" distB="0" distL="0" distR="0" wp14:anchorId="442F73B6" wp14:editId="7EFD020C">
            <wp:extent cx="5836920" cy="876300"/>
            <wp:effectExtent l="76200" t="38100" r="87630" b="1333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51B087A" w14:textId="77777777" w:rsidR="00A72A8F" w:rsidRPr="00DB556E" w:rsidRDefault="00A72A8F" w:rsidP="00A72A8F">
      <w:pPr>
        <w:pStyle w:val="Prrafodelista"/>
        <w:keepNext/>
        <w:keepLines/>
        <w:numPr>
          <w:ilvl w:val="0"/>
          <w:numId w:val="12"/>
        </w:numPr>
        <w:contextualSpacing w:val="0"/>
        <w:outlineLvl w:val="1"/>
        <w:rPr>
          <w:rFonts w:eastAsiaTheme="majorEastAsia" w:cs="Times New Roman"/>
          <w:b/>
          <w:bCs/>
          <w:vanish/>
          <w:sz w:val="24"/>
          <w:szCs w:val="26"/>
          <w:lang w:val="es-ES_tradnl" w:eastAsia="es-ES"/>
        </w:rPr>
      </w:pPr>
      <w:bookmarkStart w:id="476" w:name="_Toc33109793"/>
      <w:bookmarkStart w:id="477" w:name="_Toc33109836"/>
      <w:bookmarkStart w:id="478" w:name="_Toc33180557"/>
      <w:bookmarkStart w:id="479" w:name="_Toc33180651"/>
      <w:bookmarkStart w:id="480" w:name="_Toc33193548"/>
      <w:bookmarkStart w:id="481" w:name="_Toc33193587"/>
      <w:bookmarkStart w:id="482" w:name="_Toc33196784"/>
      <w:bookmarkStart w:id="483" w:name="_Toc40691760"/>
      <w:bookmarkStart w:id="484" w:name="_Toc40959160"/>
      <w:bookmarkStart w:id="485" w:name="_Toc40975994"/>
      <w:bookmarkStart w:id="486" w:name="_Toc40976063"/>
      <w:bookmarkStart w:id="487" w:name="_Toc40993318"/>
      <w:bookmarkStart w:id="488" w:name="_Toc40993700"/>
      <w:bookmarkStart w:id="489" w:name="_Toc41037576"/>
      <w:bookmarkStart w:id="490" w:name="_Toc41254136"/>
      <w:bookmarkStart w:id="491" w:name="_Toc41254168"/>
      <w:bookmarkStart w:id="492" w:name="_Toc41254188"/>
      <w:bookmarkStart w:id="493" w:name="_Toc42023964"/>
      <w:bookmarkStart w:id="494" w:name="_Toc42024015"/>
      <w:bookmarkStart w:id="495" w:name="_Toc42069112"/>
      <w:bookmarkStart w:id="496" w:name="_Toc49422058"/>
      <w:bookmarkStart w:id="497" w:name="_Toc49422084"/>
      <w:bookmarkStart w:id="498" w:name="_Toc49430663"/>
      <w:bookmarkStart w:id="499" w:name="_Toc49430689"/>
      <w:bookmarkStart w:id="500" w:name="_Toc49750466"/>
      <w:bookmarkStart w:id="501" w:name="_Toc49750716"/>
      <w:bookmarkStart w:id="502" w:name="_Toc49750744"/>
      <w:bookmarkStart w:id="503" w:name="_Toc55284830"/>
      <w:bookmarkStart w:id="504" w:name="_Toc55298848"/>
      <w:bookmarkStart w:id="505" w:name="_Toc55373829"/>
      <w:bookmarkStart w:id="506" w:name="_Toc55374002"/>
      <w:bookmarkStart w:id="507" w:name="_Toc55375139"/>
      <w:bookmarkStart w:id="508" w:name="_Toc55396547"/>
      <w:bookmarkStart w:id="509" w:name="_Toc65230544"/>
      <w:bookmarkStart w:id="510" w:name="_Toc65230782"/>
      <w:bookmarkStart w:id="511" w:name="_Toc65232066"/>
      <w:bookmarkStart w:id="512" w:name="_Toc65232311"/>
      <w:bookmarkStart w:id="513" w:name="_Toc66716170"/>
      <w:bookmarkStart w:id="514" w:name="_Toc71097214"/>
      <w:bookmarkStart w:id="515" w:name="_Toc71097245"/>
      <w:bookmarkStart w:id="516" w:name="_Toc71097320"/>
      <w:bookmarkStart w:id="517" w:name="_Toc71108060"/>
      <w:bookmarkStart w:id="518" w:name="_Toc79055254"/>
      <w:bookmarkStart w:id="519" w:name="_Toc79055285"/>
      <w:bookmarkStart w:id="520" w:name="_Toc79060176"/>
      <w:bookmarkStart w:id="521" w:name="_Toc79060463"/>
      <w:bookmarkStart w:id="522" w:name="_Toc81307820"/>
      <w:bookmarkStart w:id="523" w:name="_Toc83376481"/>
      <w:bookmarkStart w:id="524" w:name="_Toc86386720"/>
      <w:bookmarkStart w:id="525" w:name="_Toc86405406"/>
      <w:bookmarkStart w:id="526" w:name="_Toc98162436"/>
      <w:bookmarkStart w:id="527" w:name="_Toc98162468"/>
      <w:bookmarkStart w:id="528" w:name="_Toc98234994"/>
      <w:bookmarkStart w:id="529" w:name="_Toc98235189"/>
      <w:bookmarkStart w:id="530" w:name="_Toc98235274"/>
      <w:bookmarkStart w:id="531" w:name="_Toc98757144"/>
      <w:bookmarkStart w:id="532" w:name="_Toc101874699"/>
      <w:bookmarkStart w:id="533" w:name="_Toc101954155"/>
      <w:bookmarkStart w:id="534" w:name="_Toc101971972"/>
      <w:bookmarkStart w:id="535" w:name="_Toc101974064"/>
      <w:bookmarkStart w:id="536" w:name="_Toc102039749"/>
      <w:bookmarkStart w:id="537" w:name="_Toc102039787"/>
      <w:bookmarkStart w:id="538" w:name="_Toc102039827"/>
      <w:bookmarkStart w:id="539" w:name="_Toc102039858"/>
      <w:bookmarkStart w:id="540" w:name="_Toc102040916"/>
      <w:bookmarkStart w:id="541" w:name="_Toc102477764"/>
      <w:bookmarkStart w:id="542" w:name="_Toc10247779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92112A0" w14:textId="77777777" w:rsidR="008B2529" w:rsidRPr="00DB556E" w:rsidRDefault="00F23B0C"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543" w:name="_Toc102477796"/>
      <w:r w:rsidRPr="00DB556E">
        <w:rPr>
          <w:rFonts w:ascii="Times New Roman" w:hAnsi="Times New Roman" w:cs="Times New Roman"/>
          <w:color w:val="auto"/>
          <w:sz w:val="24"/>
        </w:rPr>
        <w:t>L</w:t>
      </w:r>
      <w:r w:rsidR="0060419B" w:rsidRPr="00DB556E">
        <w:rPr>
          <w:rFonts w:ascii="Times New Roman" w:hAnsi="Times New Roman" w:cs="Times New Roman"/>
          <w:color w:val="auto"/>
          <w:sz w:val="24"/>
        </w:rPr>
        <w:t xml:space="preserve">a inversión de </w:t>
      </w:r>
      <w:r w:rsidR="00A21A89" w:rsidRPr="00DB556E">
        <w:rPr>
          <w:rFonts w:ascii="Times New Roman" w:hAnsi="Times New Roman" w:cs="Times New Roman"/>
          <w:color w:val="auto"/>
          <w:sz w:val="24"/>
        </w:rPr>
        <w:t>activos no financieros</w:t>
      </w:r>
      <w:r w:rsidR="00056E8E" w:rsidRPr="00DB556E">
        <w:rPr>
          <w:rFonts w:ascii="Times New Roman" w:hAnsi="Times New Roman" w:cs="Times New Roman"/>
          <w:color w:val="auto"/>
          <w:sz w:val="24"/>
        </w:rPr>
        <w:t xml:space="preserve"> e</w:t>
      </w:r>
      <w:r w:rsidR="00524FAA" w:rsidRPr="00DB556E">
        <w:rPr>
          <w:rFonts w:ascii="Times New Roman" w:hAnsi="Times New Roman" w:cs="Times New Roman"/>
          <w:color w:val="auto"/>
          <w:sz w:val="24"/>
        </w:rPr>
        <w:t>s</w:t>
      </w:r>
      <w:r w:rsidR="00056E8E" w:rsidRPr="00DB556E">
        <w:rPr>
          <w:rFonts w:ascii="Times New Roman" w:hAnsi="Times New Roman" w:cs="Times New Roman"/>
          <w:color w:val="auto"/>
          <w:sz w:val="24"/>
        </w:rPr>
        <w:t xml:space="preserve"> mayor en 2022</w:t>
      </w:r>
      <w:bookmarkEnd w:id="543"/>
    </w:p>
    <w:p w14:paraId="34D480F5" w14:textId="3D19928E" w:rsidR="00F3371E" w:rsidRPr="00DB556E" w:rsidRDefault="00EA4ED8" w:rsidP="00CD34D6">
      <w:pPr>
        <w:rPr>
          <w:rFonts w:cs="Times New Roman"/>
          <w:szCs w:val="22"/>
        </w:rPr>
      </w:pPr>
      <w:r w:rsidRPr="00DB556E">
        <w:rPr>
          <w:rFonts w:cs="Times New Roman"/>
          <w:szCs w:val="22"/>
        </w:rPr>
        <w:t xml:space="preserve">La </w:t>
      </w:r>
      <w:r w:rsidR="00E846F8" w:rsidRPr="00DB556E">
        <w:rPr>
          <w:rFonts w:cs="Times New Roman"/>
          <w:szCs w:val="22"/>
        </w:rPr>
        <w:t xml:space="preserve">inversión bruta en activos no financieros </w:t>
      </w:r>
      <w:r w:rsidR="00C861B8" w:rsidRPr="00DB556E">
        <w:rPr>
          <w:rFonts w:cs="Times New Roman"/>
          <w:szCs w:val="22"/>
        </w:rPr>
        <w:t xml:space="preserve">en primer trimestre del año </w:t>
      </w:r>
      <w:r w:rsidR="00250228" w:rsidRPr="00DB556E">
        <w:rPr>
          <w:rFonts w:cs="Times New Roman"/>
          <w:szCs w:val="22"/>
        </w:rPr>
        <w:t xml:space="preserve">2022 se sitúa </w:t>
      </w:r>
      <w:r w:rsidR="00AA3D14" w:rsidRPr="00DB556E">
        <w:rPr>
          <w:rFonts w:cs="Times New Roman"/>
          <w:szCs w:val="22"/>
        </w:rPr>
        <w:t>Q</w:t>
      </w:r>
      <w:r w:rsidR="00250228" w:rsidRPr="00DB556E">
        <w:rPr>
          <w:rFonts w:cs="Times New Roman"/>
          <w:szCs w:val="22"/>
        </w:rPr>
        <w:t>806</w:t>
      </w:r>
      <w:r w:rsidR="00AA3D14" w:rsidRPr="00DB556E">
        <w:rPr>
          <w:rFonts w:cs="Times New Roman"/>
          <w:szCs w:val="22"/>
        </w:rPr>
        <w:t xml:space="preserve">.9 millones, este es un aumento </w:t>
      </w:r>
      <w:r w:rsidR="00C6053D" w:rsidRPr="00DB556E">
        <w:rPr>
          <w:rFonts w:cs="Times New Roman"/>
          <w:szCs w:val="22"/>
        </w:rPr>
        <w:t>de 66.1</w:t>
      </w:r>
      <w:r w:rsidR="000C27C6" w:rsidRPr="00DB556E">
        <w:rPr>
          <w:rFonts w:cs="Times New Roman"/>
          <w:szCs w:val="22"/>
        </w:rPr>
        <w:t>%</w:t>
      </w:r>
      <w:r w:rsidR="004D553D" w:rsidRPr="00DB556E">
        <w:rPr>
          <w:rFonts w:cs="Times New Roman"/>
          <w:szCs w:val="22"/>
        </w:rPr>
        <w:t xml:space="preserve"> (</w:t>
      </w:r>
      <w:r w:rsidR="00FA7EEB" w:rsidRPr="00DB556E">
        <w:rPr>
          <w:rFonts w:cs="Times New Roman"/>
          <w:szCs w:val="22"/>
        </w:rPr>
        <w:t>Q321.2 millones)</w:t>
      </w:r>
      <w:r w:rsidR="000C27C6" w:rsidRPr="00DB556E">
        <w:rPr>
          <w:rFonts w:cs="Times New Roman"/>
          <w:szCs w:val="22"/>
        </w:rPr>
        <w:t xml:space="preserve"> </w:t>
      </w:r>
      <w:r w:rsidR="00AA32B8" w:rsidRPr="00DB556E">
        <w:rPr>
          <w:rFonts w:cs="Times New Roman"/>
          <w:szCs w:val="22"/>
        </w:rPr>
        <w:t>con respecto al año previo</w:t>
      </w:r>
      <w:r w:rsidR="00BA0932" w:rsidRPr="00DB556E">
        <w:rPr>
          <w:rFonts w:cs="Times New Roman"/>
          <w:szCs w:val="22"/>
        </w:rPr>
        <w:t xml:space="preserve"> </w:t>
      </w:r>
      <w:r w:rsidR="00C6053D" w:rsidRPr="00DB556E">
        <w:rPr>
          <w:rFonts w:cs="Times New Roman"/>
          <w:szCs w:val="22"/>
        </w:rPr>
        <w:t xml:space="preserve">el cual </w:t>
      </w:r>
      <w:r w:rsidR="005932F9" w:rsidRPr="00DB556E">
        <w:rPr>
          <w:rFonts w:cs="Times New Roman"/>
          <w:szCs w:val="22"/>
        </w:rPr>
        <w:t>fue</w:t>
      </w:r>
      <w:r w:rsidR="00C6053D" w:rsidRPr="00DB556E">
        <w:rPr>
          <w:rFonts w:cs="Times New Roman"/>
          <w:szCs w:val="22"/>
        </w:rPr>
        <w:t xml:space="preserve"> de</w:t>
      </w:r>
      <w:r w:rsidR="00BA0932" w:rsidRPr="00DB556E">
        <w:rPr>
          <w:rFonts w:cs="Times New Roman"/>
          <w:szCs w:val="22"/>
        </w:rPr>
        <w:t xml:space="preserve"> Q485.7 millones</w:t>
      </w:r>
      <w:r w:rsidR="00AE65C5" w:rsidRPr="00DB556E">
        <w:rPr>
          <w:rFonts w:cs="Times New Roman"/>
          <w:szCs w:val="22"/>
        </w:rPr>
        <w:t>.</w:t>
      </w:r>
      <w:r w:rsidR="0060419B" w:rsidRPr="00DB556E">
        <w:rPr>
          <w:rFonts w:cs="Times New Roman"/>
          <w:szCs w:val="22"/>
        </w:rPr>
        <w:t xml:space="preserve"> El principal aumento se produjo en </w:t>
      </w:r>
      <w:r w:rsidR="0099702B" w:rsidRPr="00DB556E">
        <w:rPr>
          <w:rFonts w:cs="Times New Roman"/>
          <w:szCs w:val="22"/>
        </w:rPr>
        <w:t>los activos fijos</w:t>
      </w:r>
      <w:r w:rsidR="001574E6" w:rsidRPr="00DB556E">
        <w:rPr>
          <w:rFonts w:cs="Times New Roman"/>
          <w:szCs w:val="22"/>
        </w:rPr>
        <w:t>,</w:t>
      </w:r>
      <w:r w:rsidR="0099702B" w:rsidRPr="00DB556E">
        <w:rPr>
          <w:rFonts w:cs="Times New Roman"/>
          <w:szCs w:val="22"/>
        </w:rPr>
        <w:t xml:space="preserve"> </w:t>
      </w:r>
      <w:r w:rsidR="000F55E5" w:rsidRPr="00DB556E">
        <w:rPr>
          <w:rFonts w:cs="Times New Roman"/>
          <w:szCs w:val="22"/>
        </w:rPr>
        <w:t>los cuales alcanzan los</w:t>
      </w:r>
      <w:r w:rsidR="00176A38" w:rsidRPr="00DB556E">
        <w:rPr>
          <w:rFonts w:cs="Times New Roman"/>
          <w:szCs w:val="22"/>
        </w:rPr>
        <w:t xml:space="preserve"> </w:t>
      </w:r>
      <w:r w:rsidR="00903C9C" w:rsidRPr="00DB556E">
        <w:rPr>
          <w:rFonts w:cs="Times New Roman"/>
          <w:szCs w:val="22"/>
        </w:rPr>
        <w:t>Q</w:t>
      </w:r>
      <w:r w:rsidR="00176A38" w:rsidRPr="00DB556E">
        <w:rPr>
          <w:rFonts w:cs="Times New Roman"/>
          <w:szCs w:val="22"/>
        </w:rPr>
        <w:t>806.</w:t>
      </w:r>
      <w:r w:rsidR="007F6642" w:rsidRPr="00DB556E">
        <w:rPr>
          <w:rFonts w:cs="Times New Roman"/>
          <w:szCs w:val="22"/>
        </w:rPr>
        <w:t>0</w:t>
      </w:r>
      <w:r w:rsidR="00903C9C" w:rsidRPr="00DB556E">
        <w:rPr>
          <w:rFonts w:cs="Times New Roman"/>
          <w:szCs w:val="22"/>
        </w:rPr>
        <w:t xml:space="preserve"> millones</w:t>
      </w:r>
      <w:r w:rsidR="001574E6" w:rsidRPr="00DB556E">
        <w:rPr>
          <w:rFonts w:cs="Times New Roman"/>
          <w:szCs w:val="22"/>
        </w:rPr>
        <w:t>,</w:t>
      </w:r>
      <w:r w:rsidR="00853030" w:rsidRPr="00DB556E">
        <w:rPr>
          <w:rFonts w:cs="Times New Roman"/>
          <w:szCs w:val="22"/>
        </w:rPr>
        <w:t xml:space="preserve"> con una variación de </w:t>
      </w:r>
      <w:r w:rsidR="007166D2" w:rsidRPr="00DB556E">
        <w:rPr>
          <w:rFonts w:cs="Times New Roman"/>
          <w:szCs w:val="22"/>
        </w:rPr>
        <w:t>66.0% (Q320.3 millones)</w:t>
      </w:r>
      <w:r w:rsidR="00903C9C" w:rsidRPr="00DB556E">
        <w:rPr>
          <w:rFonts w:cs="Times New Roman"/>
          <w:szCs w:val="22"/>
        </w:rPr>
        <w:t xml:space="preserve"> </w:t>
      </w:r>
      <w:r w:rsidR="007166D2" w:rsidRPr="00DB556E">
        <w:rPr>
          <w:rFonts w:cs="Times New Roman"/>
          <w:szCs w:val="22"/>
        </w:rPr>
        <w:t xml:space="preserve">y </w:t>
      </w:r>
      <w:r w:rsidR="007F6642" w:rsidRPr="00DB556E">
        <w:rPr>
          <w:rFonts w:cs="Times New Roman"/>
          <w:szCs w:val="22"/>
        </w:rPr>
        <w:t xml:space="preserve">en los cuales el </w:t>
      </w:r>
      <w:r w:rsidR="00853030" w:rsidRPr="00DB556E">
        <w:rPr>
          <w:rFonts w:cs="Times New Roman"/>
          <w:szCs w:val="22"/>
        </w:rPr>
        <w:t>más</w:t>
      </w:r>
      <w:r w:rsidR="007F6642" w:rsidRPr="00DB556E">
        <w:rPr>
          <w:rFonts w:cs="Times New Roman"/>
          <w:szCs w:val="22"/>
        </w:rPr>
        <w:t xml:space="preserve"> importante se encuentra en la adquisición de edificios y estructuras</w:t>
      </w:r>
      <w:r w:rsidR="00D335AD" w:rsidRPr="00DB556E">
        <w:rPr>
          <w:rFonts w:cs="Times New Roman"/>
          <w:szCs w:val="22"/>
        </w:rPr>
        <w:t xml:space="preserve"> </w:t>
      </w:r>
      <w:r w:rsidR="000F55E5" w:rsidRPr="00DB556E">
        <w:rPr>
          <w:rFonts w:cs="Times New Roman"/>
          <w:szCs w:val="22"/>
        </w:rPr>
        <w:t>por</w:t>
      </w:r>
      <w:r w:rsidR="00D335AD" w:rsidRPr="00DB556E">
        <w:rPr>
          <w:rFonts w:cs="Times New Roman"/>
          <w:szCs w:val="22"/>
        </w:rPr>
        <w:t xml:space="preserve"> Q773.5 </w:t>
      </w:r>
      <w:r w:rsidR="00073457" w:rsidRPr="00DB556E">
        <w:rPr>
          <w:rFonts w:cs="Times New Roman"/>
          <w:szCs w:val="22"/>
        </w:rPr>
        <w:t>millones</w:t>
      </w:r>
      <w:r w:rsidR="001574E6" w:rsidRPr="00DB556E">
        <w:rPr>
          <w:rFonts w:cs="Times New Roman"/>
          <w:szCs w:val="22"/>
        </w:rPr>
        <w:t>,</w:t>
      </w:r>
      <w:r w:rsidR="00073457" w:rsidRPr="00DB556E">
        <w:rPr>
          <w:rFonts w:cs="Times New Roman"/>
          <w:szCs w:val="22"/>
        </w:rPr>
        <w:t xml:space="preserve"> mientras</w:t>
      </w:r>
      <w:r w:rsidR="007166D2" w:rsidRPr="00DB556E">
        <w:rPr>
          <w:rFonts w:cs="Times New Roman"/>
          <w:szCs w:val="22"/>
        </w:rPr>
        <w:t xml:space="preserve"> que </w:t>
      </w:r>
      <w:r w:rsidR="00073457" w:rsidRPr="00DB556E">
        <w:rPr>
          <w:rFonts w:cs="Times New Roman"/>
          <w:szCs w:val="22"/>
        </w:rPr>
        <w:t>el restante fue</w:t>
      </w:r>
      <w:r w:rsidR="00D335AD" w:rsidRPr="00DB556E">
        <w:rPr>
          <w:rFonts w:cs="Times New Roman"/>
          <w:szCs w:val="22"/>
        </w:rPr>
        <w:t xml:space="preserve"> en</w:t>
      </w:r>
      <w:r w:rsidR="00073457" w:rsidRPr="00DB556E">
        <w:rPr>
          <w:rFonts w:cs="Times New Roman"/>
          <w:szCs w:val="22"/>
        </w:rPr>
        <w:t xml:space="preserve"> la adquisición de</w:t>
      </w:r>
      <w:r w:rsidR="00D335AD" w:rsidRPr="00DB556E">
        <w:rPr>
          <w:rFonts w:cs="Times New Roman"/>
          <w:szCs w:val="22"/>
        </w:rPr>
        <w:t xml:space="preserve"> maquinaria y equipo</w:t>
      </w:r>
      <w:r w:rsidR="00073457" w:rsidRPr="00DB556E">
        <w:rPr>
          <w:rFonts w:cs="Times New Roman"/>
          <w:szCs w:val="22"/>
        </w:rPr>
        <w:t xml:space="preserve"> por </w:t>
      </w:r>
      <w:r w:rsidR="00C6053D" w:rsidRPr="00DB556E">
        <w:rPr>
          <w:rFonts w:cs="Times New Roman"/>
          <w:szCs w:val="22"/>
        </w:rPr>
        <w:t>Q32.5 millones</w:t>
      </w:r>
      <w:r w:rsidR="00CE3A2B" w:rsidRPr="00DB556E">
        <w:rPr>
          <w:rFonts w:cs="Times New Roman"/>
          <w:szCs w:val="22"/>
        </w:rPr>
        <w:t>.</w:t>
      </w:r>
    </w:p>
    <w:p w14:paraId="57640202" w14:textId="77777777" w:rsidR="008072E4" w:rsidRPr="00DB556E" w:rsidRDefault="0075669C" w:rsidP="00201CD8">
      <w:pPr>
        <w:jc w:val="center"/>
        <w:rPr>
          <w:rFonts w:cs="Times New Roman"/>
          <w:szCs w:val="22"/>
        </w:rPr>
      </w:pPr>
      <w:r w:rsidRPr="00DB556E">
        <w:rPr>
          <w:rFonts w:cs="Times New Roman"/>
          <w:noProof/>
          <w:szCs w:val="22"/>
          <w:lang w:eastAsia="es-GT"/>
        </w:rPr>
        <w:drawing>
          <wp:inline distT="0" distB="0" distL="0" distR="0" wp14:anchorId="2BFD5ABF" wp14:editId="00CBFBDE">
            <wp:extent cx="5728970" cy="2676525"/>
            <wp:effectExtent l="0" t="0" r="508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2ADD9C0" w14:textId="77777777" w:rsidR="00B435E7" w:rsidRPr="00DB556E" w:rsidRDefault="001D54E4" w:rsidP="007B2224">
      <w:pPr>
        <w:pStyle w:val="Prrafodelista"/>
        <w:numPr>
          <w:ilvl w:val="0"/>
          <w:numId w:val="1"/>
        </w:numPr>
        <w:ind w:left="426" w:hanging="426"/>
        <w:outlineLvl w:val="0"/>
        <w:rPr>
          <w:rFonts w:cs="Times New Roman"/>
          <w:b/>
          <w:sz w:val="24"/>
          <w:lang w:val="es-MX"/>
        </w:rPr>
      </w:pPr>
      <w:bookmarkStart w:id="544" w:name="_Toc42023966"/>
      <w:bookmarkStart w:id="545" w:name="_Toc42024017"/>
      <w:bookmarkStart w:id="546" w:name="_Toc42023967"/>
      <w:bookmarkStart w:id="547" w:name="_Toc42024018"/>
      <w:bookmarkStart w:id="548" w:name="_Toc102477797"/>
      <w:bookmarkEnd w:id="544"/>
      <w:bookmarkEnd w:id="545"/>
      <w:bookmarkEnd w:id="546"/>
      <w:bookmarkEnd w:id="547"/>
      <w:r w:rsidRPr="00DB556E">
        <w:rPr>
          <w:rFonts w:cs="Times New Roman"/>
          <w:b/>
          <w:sz w:val="24"/>
          <w:lang w:val="es-MX"/>
        </w:rPr>
        <w:lastRenderedPageBreak/>
        <w:t>Financiamiento</w:t>
      </w:r>
      <w:bookmarkEnd w:id="548"/>
    </w:p>
    <w:p w14:paraId="5287581E" w14:textId="77777777" w:rsidR="000F19C1" w:rsidRPr="00DB556E" w:rsidRDefault="000F19C1" w:rsidP="000F19C1">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549" w:name="_Toc55374005"/>
      <w:bookmarkStart w:id="550" w:name="_Toc55375142"/>
      <w:bookmarkStart w:id="551" w:name="_Toc55396550"/>
      <w:bookmarkStart w:id="552" w:name="_Toc65230547"/>
      <w:bookmarkStart w:id="553" w:name="_Toc65230785"/>
      <w:bookmarkStart w:id="554" w:name="_Toc65232069"/>
      <w:bookmarkStart w:id="555" w:name="_Toc65232314"/>
      <w:bookmarkStart w:id="556" w:name="_Toc66716173"/>
      <w:bookmarkStart w:id="557" w:name="_Toc71097217"/>
      <w:bookmarkStart w:id="558" w:name="_Toc71097248"/>
      <w:bookmarkStart w:id="559" w:name="_Toc71097323"/>
      <w:bookmarkStart w:id="560" w:name="_Toc71108063"/>
      <w:bookmarkStart w:id="561" w:name="_Toc79055257"/>
      <w:bookmarkStart w:id="562" w:name="_Toc79055288"/>
      <w:bookmarkStart w:id="563" w:name="_Toc79060179"/>
      <w:bookmarkStart w:id="564" w:name="_Toc79060466"/>
      <w:bookmarkStart w:id="565" w:name="_Toc81307823"/>
      <w:bookmarkStart w:id="566" w:name="_Toc83376484"/>
      <w:bookmarkStart w:id="567" w:name="_Toc86386723"/>
      <w:bookmarkStart w:id="568" w:name="_Toc86405409"/>
      <w:bookmarkStart w:id="569" w:name="_Toc98162439"/>
      <w:bookmarkStart w:id="570" w:name="_Toc98162471"/>
      <w:bookmarkStart w:id="571" w:name="_Toc98234997"/>
      <w:bookmarkStart w:id="572" w:name="_Toc98235192"/>
      <w:bookmarkStart w:id="573" w:name="_Toc98235277"/>
      <w:bookmarkStart w:id="574" w:name="_Toc98757147"/>
      <w:bookmarkStart w:id="575" w:name="_Toc101874702"/>
      <w:bookmarkStart w:id="576" w:name="_Toc101954158"/>
      <w:bookmarkStart w:id="577" w:name="_Toc101971975"/>
      <w:bookmarkStart w:id="578" w:name="_Toc101974067"/>
      <w:bookmarkStart w:id="579" w:name="_Toc102039752"/>
      <w:bookmarkStart w:id="580" w:name="_Toc102039790"/>
      <w:bookmarkStart w:id="581" w:name="_Toc102039830"/>
      <w:bookmarkStart w:id="582" w:name="_Toc102039861"/>
      <w:bookmarkStart w:id="583" w:name="_Toc102040919"/>
      <w:bookmarkStart w:id="584" w:name="_Toc102477767"/>
      <w:bookmarkStart w:id="585" w:name="_Toc10247779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D4C47AC" w14:textId="77777777" w:rsidR="004F6CEF" w:rsidRPr="00DB556E" w:rsidRDefault="006B58E6" w:rsidP="000F19C1">
      <w:pPr>
        <w:pStyle w:val="Ttulo2"/>
        <w:numPr>
          <w:ilvl w:val="1"/>
          <w:numId w:val="12"/>
        </w:numPr>
        <w:tabs>
          <w:tab w:val="left" w:pos="426"/>
        </w:tabs>
        <w:spacing w:before="0"/>
        <w:rPr>
          <w:rFonts w:ascii="Times New Roman" w:hAnsi="Times New Roman" w:cs="Times New Roman"/>
          <w:color w:val="auto"/>
          <w:sz w:val="24"/>
        </w:rPr>
      </w:pPr>
      <w:bookmarkStart w:id="586" w:name="_Toc102477799"/>
      <w:r w:rsidRPr="00DB556E">
        <w:rPr>
          <w:rFonts w:ascii="Times New Roman" w:hAnsi="Times New Roman" w:cs="Times New Roman"/>
          <w:color w:val="auto"/>
          <w:sz w:val="24"/>
        </w:rPr>
        <w:t>Hay una acumulación de activos financieros</w:t>
      </w:r>
      <w:bookmarkEnd w:id="586"/>
    </w:p>
    <w:p w14:paraId="626663FB" w14:textId="4C052BC6" w:rsidR="006D1A13" w:rsidRPr="00DB556E" w:rsidRDefault="003B20FE" w:rsidP="00F46ECF">
      <w:r w:rsidRPr="00DB556E">
        <w:t xml:space="preserve">Los activos </w:t>
      </w:r>
      <w:r w:rsidR="00AE01B4" w:rsidRPr="00DB556E">
        <w:t xml:space="preserve">financieros se han incrementado en </w:t>
      </w:r>
      <w:r w:rsidR="00170F9B" w:rsidRPr="00DB556E">
        <w:t>Q</w:t>
      </w:r>
      <w:r w:rsidR="00AE01B4" w:rsidRPr="00DB556E">
        <w:t>2</w:t>
      </w:r>
      <w:r w:rsidR="001D17CB" w:rsidRPr="00DB556E">
        <w:t>,</w:t>
      </w:r>
      <w:r w:rsidR="00AE01B4" w:rsidRPr="00DB556E">
        <w:t>522</w:t>
      </w:r>
      <w:r w:rsidR="001D17CB" w:rsidRPr="00DB556E">
        <w:t>.</w:t>
      </w:r>
      <w:r w:rsidR="00AE01B4" w:rsidRPr="00DB556E">
        <w:t>2</w:t>
      </w:r>
      <w:r w:rsidR="001D17CB" w:rsidRPr="00DB556E">
        <w:t xml:space="preserve"> </w:t>
      </w:r>
      <w:r w:rsidR="003227AE" w:rsidRPr="00DB556E">
        <w:t>millones</w:t>
      </w:r>
      <w:r w:rsidR="001574E6" w:rsidRPr="00DB556E">
        <w:t>,</w:t>
      </w:r>
      <w:r w:rsidR="009458D3" w:rsidRPr="00DB556E">
        <w:t xml:space="preserve"> a</w:t>
      </w:r>
      <w:r w:rsidR="00217A54" w:rsidRPr="00DB556E">
        <w:t>l</w:t>
      </w:r>
      <w:r w:rsidR="009458D3" w:rsidRPr="00DB556E">
        <w:t xml:space="preserve"> finalizar el primer trimestre 2022</w:t>
      </w:r>
      <w:r w:rsidR="00A23EE2" w:rsidRPr="00DB556E">
        <w:t xml:space="preserve"> derivado de </w:t>
      </w:r>
      <w:r w:rsidR="00F359A9" w:rsidRPr="00DB556E">
        <w:t>aumentos en enero (</w:t>
      </w:r>
      <w:r w:rsidR="00C66D9D" w:rsidRPr="00DB556E">
        <w:t>Q841.8 millones)</w:t>
      </w:r>
      <w:r w:rsidR="00F359A9" w:rsidRPr="00DB556E">
        <w:t xml:space="preserve"> y </w:t>
      </w:r>
      <w:r w:rsidR="002D02BD" w:rsidRPr="00DB556E">
        <w:t>marzo</w:t>
      </w:r>
      <w:r w:rsidR="00F359A9" w:rsidRPr="00DB556E">
        <w:t xml:space="preserve"> </w:t>
      </w:r>
      <w:r w:rsidR="00C66D9D" w:rsidRPr="00DB556E">
        <w:t>(Q2,226.0 millones)</w:t>
      </w:r>
      <w:r w:rsidR="002D02BD" w:rsidRPr="00DB556E">
        <w:t xml:space="preserve"> </w:t>
      </w:r>
      <w:r w:rsidR="008E27C5" w:rsidRPr="00DB556E">
        <w:t>mientas que existió</w:t>
      </w:r>
      <w:r w:rsidR="002D02BD" w:rsidRPr="00DB556E">
        <w:t xml:space="preserve"> una disminución en febrero (Q545.5)</w:t>
      </w:r>
      <w:r w:rsidR="00075216" w:rsidRPr="00DB556E">
        <w:t>.</w:t>
      </w:r>
      <w:r w:rsidR="002D02BD" w:rsidRPr="00DB556E">
        <w:t xml:space="preserve"> </w:t>
      </w:r>
      <w:r w:rsidR="00C30556" w:rsidRPr="00DB556E">
        <w:t xml:space="preserve">Los Billetes, monedas y depósitos </w:t>
      </w:r>
      <w:r w:rsidR="00410DF4" w:rsidRPr="00DB556E">
        <w:t>cuenta</w:t>
      </w:r>
      <w:r w:rsidR="002400B8" w:rsidRPr="00DB556E">
        <w:t>n</w:t>
      </w:r>
      <w:r w:rsidR="00410DF4" w:rsidRPr="00DB556E">
        <w:t xml:space="preserve"> con un incremento de Q2,535.6 millones</w:t>
      </w:r>
      <w:r w:rsidR="001574E6" w:rsidRPr="00DB556E">
        <w:t>,</w:t>
      </w:r>
      <w:r w:rsidR="00A21526" w:rsidRPr="00DB556E">
        <w:t xml:space="preserve"> al mes de </w:t>
      </w:r>
      <w:r w:rsidR="006E38D8" w:rsidRPr="00DB556E">
        <w:t>marzo mientras</w:t>
      </w:r>
      <w:r w:rsidR="00D44087" w:rsidRPr="00DB556E">
        <w:t xml:space="preserve"> que </w:t>
      </w:r>
      <w:r w:rsidR="005551B7" w:rsidRPr="00DB556E">
        <w:t xml:space="preserve">las inversiones en forma de </w:t>
      </w:r>
      <w:r w:rsidR="008E27C5" w:rsidRPr="00DB556E">
        <w:t>préstamos</w:t>
      </w:r>
      <w:r w:rsidR="005551B7" w:rsidRPr="00DB556E">
        <w:t xml:space="preserve"> </w:t>
      </w:r>
      <w:r w:rsidR="00D44087" w:rsidRPr="00DB556E">
        <w:t>s</w:t>
      </w:r>
      <w:r w:rsidR="00EE4CEF" w:rsidRPr="00DB556E">
        <w:t xml:space="preserve">e redujeron </w:t>
      </w:r>
      <w:r w:rsidR="005551B7" w:rsidRPr="00DB556E">
        <w:t>por Q13.3 millones</w:t>
      </w:r>
      <w:r w:rsidR="00364B13" w:rsidRPr="00DB556E">
        <w:t>.</w:t>
      </w:r>
    </w:p>
    <w:p w14:paraId="0D166D80" w14:textId="77777777" w:rsidR="00470A42" w:rsidRPr="00DB556E" w:rsidRDefault="00470A42" w:rsidP="001A4D7B">
      <w:pPr>
        <w:jc w:val="center"/>
        <w:rPr>
          <w:b/>
          <w:bCs/>
        </w:rPr>
      </w:pPr>
      <w:r w:rsidRPr="00DB556E">
        <w:rPr>
          <w:b/>
          <w:bCs/>
        </w:rPr>
        <w:t xml:space="preserve">Incurrimiento neto de </w:t>
      </w:r>
      <w:r w:rsidR="00512290" w:rsidRPr="00DB556E">
        <w:rPr>
          <w:b/>
          <w:bCs/>
        </w:rPr>
        <w:t>activos financieros</w:t>
      </w:r>
      <w:r w:rsidRPr="00DB556E">
        <w:rPr>
          <w:b/>
          <w:bCs/>
        </w:rPr>
        <w:t xml:space="preserve"> </w:t>
      </w:r>
      <w:r w:rsidR="00FD7002" w:rsidRPr="00DB556E">
        <w:rPr>
          <w:b/>
          <w:bCs/>
        </w:rPr>
        <w:t xml:space="preserve">a </w:t>
      </w:r>
      <w:r w:rsidR="00561422" w:rsidRPr="00DB556E">
        <w:rPr>
          <w:b/>
          <w:bCs/>
        </w:rPr>
        <w:t>marzo</w:t>
      </w:r>
      <w:r w:rsidR="00FD7002" w:rsidRPr="00DB556E">
        <w:rPr>
          <w:b/>
          <w:bCs/>
        </w:rPr>
        <w:t xml:space="preserve"> de </w:t>
      </w:r>
      <w:r w:rsidR="00ED71F1" w:rsidRPr="00DB556E">
        <w:rPr>
          <w:b/>
          <w:bCs/>
        </w:rPr>
        <w:t>202</w:t>
      </w:r>
      <w:r w:rsidR="00BF1308" w:rsidRPr="00DB556E">
        <w:rPr>
          <w:b/>
          <w:bCs/>
        </w:rPr>
        <w:t>2</w:t>
      </w:r>
      <w:r w:rsidRPr="00DB556E">
        <w:rPr>
          <w:b/>
          <w:bCs/>
        </w:rPr>
        <w:t>*</w:t>
      </w:r>
    </w:p>
    <w:p w14:paraId="30738EC2" w14:textId="77777777" w:rsidR="00470A42" w:rsidRPr="00DB556E" w:rsidRDefault="00470A42" w:rsidP="006D1A13">
      <w:pPr>
        <w:jc w:val="center"/>
      </w:pPr>
      <w:r w:rsidRPr="00DB556E">
        <w:rPr>
          <w:sz w:val="20"/>
          <w:szCs w:val="22"/>
        </w:rPr>
        <w:t xml:space="preserve">En millones de </w:t>
      </w:r>
      <w:r w:rsidR="003D1F3C" w:rsidRPr="00DB556E">
        <w:rPr>
          <w:sz w:val="20"/>
          <w:szCs w:val="22"/>
        </w:rPr>
        <w:t>q</w:t>
      </w:r>
      <w:r w:rsidRPr="00DB556E">
        <w:rPr>
          <w:sz w:val="20"/>
          <w:szCs w:val="22"/>
        </w:rPr>
        <w:t>uetzales</w:t>
      </w:r>
      <w:r w:rsidR="003D1F3C" w:rsidRPr="00DB556E">
        <w:rPr>
          <w:sz w:val="20"/>
          <w:szCs w:val="22"/>
        </w:rPr>
        <w:t xml:space="preserve"> y porcentajes</w:t>
      </w:r>
    </w:p>
    <w:p w14:paraId="5C387859" w14:textId="77777777" w:rsidR="00731535" w:rsidRPr="00DB556E" w:rsidRDefault="00731535" w:rsidP="006D1A13">
      <w:pPr>
        <w:jc w:val="center"/>
      </w:pPr>
      <w:r w:rsidRPr="00DB556E">
        <w:rPr>
          <w:b/>
          <w:bCs/>
          <w:noProof/>
          <w:lang w:eastAsia="es-GT"/>
        </w:rPr>
        <w:drawing>
          <wp:inline distT="0" distB="0" distL="0" distR="0" wp14:anchorId="6005C3D5" wp14:editId="1A1C0A81">
            <wp:extent cx="3267075" cy="2242868"/>
            <wp:effectExtent l="0" t="0" r="0" b="508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C3031" w:rsidRPr="00DB556E">
        <w:rPr>
          <w:noProof/>
          <w:lang w:eastAsia="es-GT"/>
        </w:rPr>
        <w:drawing>
          <wp:inline distT="0" distB="0" distL="0" distR="0" wp14:anchorId="4B6F4942" wp14:editId="6E5922D1">
            <wp:extent cx="2562225" cy="223424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6DE04B" w14:textId="77777777" w:rsidR="001E71BF" w:rsidRPr="00DB556E" w:rsidRDefault="001E71BF" w:rsidP="001E71BF">
      <w:pPr>
        <w:rPr>
          <w:rFonts w:cs="Times New Roman"/>
          <w:sz w:val="16"/>
          <w:szCs w:val="22"/>
          <w:lang w:val="es-MX"/>
        </w:rPr>
      </w:pPr>
      <w:r w:rsidRPr="00DB556E">
        <w:rPr>
          <w:rFonts w:cs="Times New Roman"/>
          <w:sz w:val="16"/>
          <w:szCs w:val="22"/>
          <w:lang w:val="es-MX"/>
        </w:rPr>
        <w:t>*Cifras preliminares</w:t>
      </w:r>
    </w:p>
    <w:p w14:paraId="7B42A803" w14:textId="77777777" w:rsidR="001E71BF" w:rsidRPr="00DB556E" w:rsidRDefault="001E71BF" w:rsidP="001E71BF">
      <w:pPr>
        <w:rPr>
          <w:rFonts w:cs="Times New Roman"/>
          <w:sz w:val="16"/>
          <w:szCs w:val="22"/>
          <w:lang w:val="es-MX"/>
        </w:rPr>
      </w:pPr>
      <w:r w:rsidRPr="00DB556E">
        <w:rPr>
          <w:rFonts w:cs="Times New Roman"/>
          <w:sz w:val="16"/>
          <w:szCs w:val="22"/>
          <w:lang w:val="es-MX"/>
        </w:rPr>
        <w:t>Fuente: MINFIN</w:t>
      </w:r>
    </w:p>
    <w:p w14:paraId="5FF761ED" w14:textId="77777777" w:rsidR="001574E6" w:rsidRPr="00DB556E" w:rsidRDefault="001574E6" w:rsidP="001E71BF">
      <w:pPr>
        <w:rPr>
          <w:rFonts w:cs="Times New Roman"/>
          <w:sz w:val="16"/>
          <w:szCs w:val="22"/>
          <w:lang w:val="es-MX"/>
        </w:rPr>
      </w:pPr>
    </w:p>
    <w:p w14:paraId="47346437" w14:textId="77777777" w:rsidR="003554AC" w:rsidRPr="00DB556E" w:rsidRDefault="00B4230B" w:rsidP="00EB6D9F">
      <w:pPr>
        <w:pStyle w:val="Ttulo2"/>
        <w:numPr>
          <w:ilvl w:val="1"/>
          <w:numId w:val="12"/>
        </w:numPr>
        <w:tabs>
          <w:tab w:val="left" w:pos="426"/>
        </w:tabs>
        <w:spacing w:before="0"/>
        <w:ind w:left="284" w:hanging="284"/>
        <w:rPr>
          <w:rFonts w:ascii="Times New Roman" w:hAnsi="Times New Roman" w:cs="Times New Roman"/>
          <w:color w:val="auto"/>
          <w:sz w:val="24"/>
        </w:rPr>
      </w:pPr>
      <w:bookmarkStart w:id="587" w:name="_Toc102477800"/>
      <w:r w:rsidRPr="00DB556E">
        <w:rPr>
          <w:rFonts w:ascii="Times New Roman" w:hAnsi="Times New Roman" w:cs="Times New Roman"/>
          <w:color w:val="auto"/>
          <w:sz w:val="24"/>
        </w:rPr>
        <w:t>U</w:t>
      </w:r>
      <w:r w:rsidR="00C35F85" w:rsidRPr="00DB556E">
        <w:rPr>
          <w:rFonts w:ascii="Times New Roman" w:hAnsi="Times New Roman" w:cs="Times New Roman"/>
          <w:color w:val="auto"/>
          <w:sz w:val="24"/>
        </w:rPr>
        <w:t>so</w:t>
      </w:r>
      <w:r w:rsidR="00FF503F" w:rsidRPr="00DB556E">
        <w:rPr>
          <w:rFonts w:ascii="Times New Roman" w:hAnsi="Times New Roman" w:cs="Times New Roman"/>
          <w:color w:val="auto"/>
          <w:sz w:val="24"/>
        </w:rPr>
        <w:t xml:space="preserve"> </w:t>
      </w:r>
      <w:r w:rsidR="00C35F85" w:rsidRPr="00DB556E">
        <w:rPr>
          <w:rFonts w:ascii="Times New Roman" w:hAnsi="Times New Roman" w:cs="Times New Roman"/>
          <w:color w:val="auto"/>
          <w:sz w:val="24"/>
        </w:rPr>
        <w:t>de</w:t>
      </w:r>
      <w:r w:rsidR="0006477B" w:rsidRPr="00DB556E">
        <w:rPr>
          <w:rFonts w:ascii="Times New Roman" w:hAnsi="Times New Roman" w:cs="Times New Roman"/>
          <w:color w:val="auto"/>
          <w:sz w:val="24"/>
        </w:rPr>
        <w:t xml:space="preserve"> </w:t>
      </w:r>
      <w:r w:rsidR="004F7FAD" w:rsidRPr="00DB556E">
        <w:rPr>
          <w:rFonts w:ascii="Times New Roman" w:hAnsi="Times New Roman" w:cs="Times New Roman"/>
          <w:color w:val="auto"/>
          <w:sz w:val="24"/>
        </w:rPr>
        <w:t>pasivos</w:t>
      </w:r>
      <w:r w:rsidR="0089322A" w:rsidRPr="00DB556E">
        <w:rPr>
          <w:rFonts w:ascii="Times New Roman" w:hAnsi="Times New Roman" w:cs="Times New Roman"/>
          <w:color w:val="auto"/>
          <w:sz w:val="24"/>
        </w:rPr>
        <w:t xml:space="preserve"> como fuente de financiamiento</w:t>
      </w:r>
      <w:bookmarkEnd w:id="587"/>
    </w:p>
    <w:p w14:paraId="3FF565D3" w14:textId="77777777" w:rsidR="0074383C" w:rsidRPr="00DB556E" w:rsidRDefault="00890CB2" w:rsidP="00122F2F">
      <w:r w:rsidRPr="00DB556E">
        <w:t>En cuanto a</w:t>
      </w:r>
      <w:r w:rsidR="00C32014" w:rsidRPr="00DB556E">
        <w:t>l uso de pasivos, estos se han incrementado en Q2,</w:t>
      </w:r>
      <w:r w:rsidR="00F2485E" w:rsidRPr="00DB556E">
        <w:t xml:space="preserve">432.4 millones en los cuales, Q3,377.7 </w:t>
      </w:r>
      <w:r w:rsidR="005A1B38" w:rsidRPr="00DB556E">
        <w:t>millones se</w:t>
      </w:r>
      <w:r w:rsidR="00A26212" w:rsidRPr="00DB556E">
        <w:t xml:space="preserve"> derivan de títulos de deuda</w:t>
      </w:r>
      <w:r w:rsidR="005A1B38" w:rsidRPr="00DB556E">
        <w:t xml:space="preserve"> que fueron colocados en el mes de ma</w:t>
      </w:r>
      <w:r w:rsidR="00464A19" w:rsidRPr="00DB556E">
        <w:t>rzo</w:t>
      </w:r>
      <w:r w:rsidR="00AF65D0" w:rsidRPr="00DB556E">
        <w:t>, mientras que</w:t>
      </w:r>
      <w:r w:rsidR="00464A19" w:rsidRPr="00DB556E">
        <w:t xml:space="preserve"> el resto de </w:t>
      </w:r>
      <w:r w:rsidR="00677856" w:rsidRPr="00DB556E">
        <w:t>los instrumentos</w:t>
      </w:r>
      <w:r w:rsidR="00464A19" w:rsidRPr="00DB556E">
        <w:t xml:space="preserve"> financieros </w:t>
      </w:r>
      <w:r w:rsidR="005F61DF" w:rsidRPr="00DB556E">
        <w:t>disminuyeron, en el caso de los</w:t>
      </w:r>
      <w:r w:rsidR="0076732F" w:rsidRPr="00DB556E">
        <w:t xml:space="preserve"> </w:t>
      </w:r>
      <w:r w:rsidR="00AF65D0" w:rsidRPr="00DB556E">
        <w:t>préstamos</w:t>
      </w:r>
      <w:r w:rsidR="0076732F" w:rsidRPr="00DB556E">
        <w:t xml:space="preserve"> </w:t>
      </w:r>
      <w:r w:rsidR="00AF65D0" w:rsidRPr="00DB556E">
        <w:t>tuvo una reducción (</w:t>
      </w:r>
      <w:r w:rsidR="006056A2" w:rsidRPr="00DB556E">
        <w:t>amortización</w:t>
      </w:r>
      <w:r w:rsidR="00AF65D0" w:rsidRPr="00DB556E">
        <w:t xml:space="preserve">) </w:t>
      </w:r>
      <w:r w:rsidR="0076732F" w:rsidRPr="00DB556E">
        <w:t>por Q</w:t>
      </w:r>
      <w:r w:rsidR="00974D15" w:rsidRPr="00DB556E">
        <w:t>758.1 millones y</w:t>
      </w:r>
      <w:r w:rsidR="005F61DF" w:rsidRPr="00DB556E">
        <w:t xml:space="preserve"> para</w:t>
      </w:r>
      <w:r w:rsidR="006056A2" w:rsidRPr="00DB556E">
        <w:t xml:space="preserve"> las</w:t>
      </w:r>
      <w:r w:rsidR="00974D15" w:rsidRPr="00DB556E">
        <w:t xml:space="preserve"> otras cuentas por pagar</w:t>
      </w:r>
      <w:r w:rsidR="00AF65D0" w:rsidRPr="00DB556E">
        <w:t xml:space="preserve"> </w:t>
      </w:r>
      <w:r w:rsidR="005F61DF" w:rsidRPr="00DB556E">
        <w:t>de</w:t>
      </w:r>
      <w:r w:rsidR="00974D15" w:rsidRPr="00DB556E">
        <w:t xml:space="preserve"> Q187.2 millones</w:t>
      </w:r>
      <w:r w:rsidR="005F61DF" w:rsidRPr="00DB556E">
        <w:t>.</w:t>
      </w:r>
    </w:p>
    <w:p w14:paraId="4450334F" w14:textId="77777777" w:rsidR="00996BD9" w:rsidRPr="00DB556E" w:rsidRDefault="00996BD9" w:rsidP="00122F2F"/>
    <w:tbl>
      <w:tblPr>
        <w:tblStyle w:val="Tablaconcuadrcula"/>
        <w:tblW w:w="9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0"/>
        <w:gridCol w:w="3684"/>
      </w:tblGrid>
      <w:tr w:rsidR="0061446B" w:rsidRPr="00DB556E" w14:paraId="170F85A0" w14:textId="77777777" w:rsidTr="00A256C8">
        <w:trPr>
          <w:trHeight w:val="283"/>
          <w:jc w:val="center"/>
        </w:trPr>
        <w:tc>
          <w:tcPr>
            <w:tcW w:w="9244" w:type="dxa"/>
            <w:gridSpan w:val="2"/>
          </w:tcPr>
          <w:p w14:paraId="53CD2781" w14:textId="77777777" w:rsidR="0061446B" w:rsidRPr="00DB556E" w:rsidRDefault="0061446B" w:rsidP="00E34A48">
            <w:pPr>
              <w:jc w:val="center"/>
              <w:rPr>
                <w:b/>
                <w:bCs/>
              </w:rPr>
            </w:pPr>
            <w:r w:rsidRPr="00DB556E">
              <w:rPr>
                <w:b/>
                <w:bCs/>
              </w:rPr>
              <w:t>Incurrimiento neto de pasivos</w:t>
            </w:r>
            <w:r w:rsidR="009D176B" w:rsidRPr="00DB556E">
              <w:rPr>
                <w:b/>
                <w:bCs/>
              </w:rPr>
              <w:t xml:space="preserve"> </w:t>
            </w:r>
            <w:r w:rsidR="00B435E7" w:rsidRPr="00DB556E">
              <w:rPr>
                <w:b/>
                <w:bCs/>
              </w:rPr>
              <w:t xml:space="preserve">a </w:t>
            </w:r>
            <w:r w:rsidR="00702CAC" w:rsidRPr="00DB556E">
              <w:rPr>
                <w:b/>
                <w:bCs/>
              </w:rPr>
              <w:t>marzo</w:t>
            </w:r>
            <w:r w:rsidR="00B435E7" w:rsidRPr="00DB556E">
              <w:rPr>
                <w:b/>
                <w:bCs/>
              </w:rPr>
              <w:t xml:space="preserve"> de </w:t>
            </w:r>
            <w:r w:rsidR="009D176B" w:rsidRPr="00DB556E">
              <w:rPr>
                <w:b/>
                <w:bCs/>
              </w:rPr>
              <w:t>202</w:t>
            </w:r>
            <w:r w:rsidR="00BF1308" w:rsidRPr="00DB556E">
              <w:rPr>
                <w:b/>
                <w:bCs/>
              </w:rPr>
              <w:t>2</w:t>
            </w:r>
            <w:r w:rsidR="009D176B" w:rsidRPr="00DB556E">
              <w:rPr>
                <w:b/>
                <w:bCs/>
              </w:rPr>
              <w:t>*</w:t>
            </w:r>
          </w:p>
          <w:p w14:paraId="0071567C" w14:textId="77777777" w:rsidR="0061446B" w:rsidRPr="00DB556E" w:rsidRDefault="0061446B" w:rsidP="00E34A48">
            <w:pPr>
              <w:jc w:val="center"/>
            </w:pPr>
            <w:r w:rsidRPr="00DB556E">
              <w:rPr>
                <w:sz w:val="20"/>
                <w:szCs w:val="22"/>
              </w:rPr>
              <w:t xml:space="preserve">En </w:t>
            </w:r>
            <w:r w:rsidR="006535F3" w:rsidRPr="00DB556E">
              <w:rPr>
                <w:sz w:val="20"/>
                <w:szCs w:val="22"/>
              </w:rPr>
              <w:t>millones</w:t>
            </w:r>
            <w:r w:rsidRPr="00DB556E">
              <w:rPr>
                <w:sz w:val="20"/>
                <w:szCs w:val="22"/>
              </w:rPr>
              <w:t xml:space="preserve"> de Quetzales</w:t>
            </w:r>
          </w:p>
        </w:tc>
      </w:tr>
      <w:tr w:rsidR="00D36792" w:rsidRPr="00DB556E" w14:paraId="2690E1D3" w14:textId="77777777" w:rsidTr="00A256C8">
        <w:trPr>
          <w:trHeight w:val="3102"/>
          <w:jc w:val="center"/>
        </w:trPr>
        <w:tc>
          <w:tcPr>
            <w:tcW w:w="5560" w:type="dxa"/>
            <w:shd w:val="clear" w:color="auto" w:fill="auto"/>
          </w:tcPr>
          <w:p w14:paraId="498615E8" w14:textId="77777777" w:rsidR="002400B8" w:rsidRPr="00DB556E" w:rsidRDefault="002400B8" w:rsidP="00E34A48"/>
          <w:p w14:paraId="0B6B6D9A" w14:textId="77777777" w:rsidR="00E80F28" w:rsidRPr="00DB556E" w:rsidRDefault="00E80F28" w:rsidP="00E34A48"/>
          <w:p w14:paraId="38032EE6" w14:textId="6C86D377" w:rsidR="00F674B9" w:rsidRPr="00DB556E" w:rsidRDefault="005F61DF" w:rsidP="00E34A48">
            <w:r w:rsidRPr="00DB556E">
              <w:rPr>
                <w:noProof/>
                <w:lang w:eastAsia="es-GT"/>
              </w:rPr>
              <w:drawing>
                <wp:anchor distT="0" distB="0" distL="114300" distR="114300" simplePos="0" relativeHeight="251659268" behindDoc="0" locked="0" layoutInCell="1" allowOverlap="1" wp14:anchorId="4F3AC779" wp14:editId="26282100">
                  <wp:simplePos x="0" y="0"/>
                  <wp:positionH relativeFrom="column">
                    <wp:posOffset>-68580</wp:posOffset>
                  </wp:positionH>
                  <wp:positionV relativeFrom="paragraph">
                    <wp:posOffset>-156210</wp:posOffset>
                  </wp:positionV>
                  <wp:extent cx="3600450" cy="2200275"/>
                  <wp:effectExtent l="0" t="0" r="0" b="9525"/>
                  <wp:wrapSquare wrapText="bothSides"/>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p>
        </w:tc>
        <w:tc>
          <w:tcPr>
            <w:tcW w:w="3683" w:type="dxa"/>
          </w:tcPr>
          <w:p w14:paraId="6D2B05F8" w14:textId="77777777" w:rsidR="00F674B9" w:rsidRPr="00DB556E" w:rsidRDefault="00311363" w:rsidP="00814951">
            <w:pPr>
              <w:ind w:right="-183"/>
            </w:pPr>
            <w:r w:rsidRPr="00DB556E">
              <w:rPr>
                <w:noProof/>
                <w:lang w:eastAsia="es-GT"/>
              </w:rPr>
              <w:drawing>
                <wp:inline distT="0" distB="0" distL="0" distR="0" wp14:anchorId="10A80184" wp14:editId="16CC5ADE">
                  <wp:extent cx="2160270" cy="2087593"/>
                  <wp:effectExtent l="0" t="0" r="0" b="825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F341054" w14:textId="77777777" w:rsidR="00F4077C" w:rsidRPr="00DB556E" w:rsidRDefault="00F4077C" w:rsidP="00C34A03">
      <w:pPr>
        <w:pStyle w:val="Prrafodelista"/>
        <w:numPr>
          <w:ilvl w:val="0"/>
          <w:numId w:val="1"/>
        </w:numPr>
        <w:ind w:left="426" w:hanging="426"/>
        <w:outlineLvl w:val="0"/>
        <w:rPr>
          <w:rFonts w:eastAsiaTheme="majorEastAsia" w:cs="Times New Roman"/>
          <w:b/>
          <w:bCs/>
          <w:sz w:val="24"/>
          <w:szCs w:val="26"/>
          <w:lang w:val="es-ES_tradnl" w:eastAsia="es-ES"/>
        </w:rPr>
      </w:pPr>
      <w:bookmarkStart w:id="588" w:name="_Toc42023970"/>
      <w:bookmarkStart w:id="589" w:name="_Toc42024021"/>
      <w:bookmarkStart w:id="590" w:name="_Toc42023971"/>
      <w:bookmarkStart w:id="591" w:name="_Toc42024022"/>
      <w:bookmarkStart w:id="592" w:name="_Toc42023972"/>
      <w:bookmarkStart w:id="593" w:name="_Toc42024023"/>
      <w:bookmarkStart w:id="594" w:name="_Toc42023973"/>
      <w:bookmarkStart w:id="595" w:name="_Toc42024024"/>
      <w:bookmarkStart w:id="596" w:name="_Toc102477801"/>
      <w:bookmarkEnd w:id="588"/>
      <w:bookmarkEnd w:id="589"/>
      <w:bookmarkEnd w:id="590"/>
      <w:bookmarkEnd w:id="591"/>
      <w:bookmarkEnd w:id="592"/>
      <w:bookmarkEnd w:id="593"/>
      <w:bookmarkEnd w:id="594"/>
      <w:bookmarkEnd w:id="595"/>
      <w:r w:rsidRPr="00DB556E">
        <w:rPr>
          <w:rFonts w:eastAsiaTheme="majorEastAsia" w:cs="Times New Roman"/>
          <w:b/>
          <w:bCs/>
          <w:sz w:val="24"/>
          <w:szCs w:val="26"/>
          <w:lang w:val="es-ES_tradnl" w:eastAsia="es-ES"/>
        </w:rPr>
        <w:lastRenderedPageBreak/>
        <w:t>Erogaciones</w:t>
      </w:r>
      <w:r w:rsidR="00B50E45" w:rsidRPr="00DB556E">
        <w:rPr>
          <w:rFonts w:eastAsiaTheme="majorEastAsia" w:cs="Times New Roman"/>
          <w:b/>
          <w:bCs/>
          <w:sz w:val="24"/>
          <w:szCs w:val="26"/>
          <w:lang w:val="es-ES_tradnl" w:eastAsia="es-ES"/>
        </w:rPr>
        <w:t xml:space="preserve"> del Gobierno Central Presupuestario</w:t>
      </w:r>
      <w:bookmarkEnd w:id="596"/>
    </w:p>
    <w:p w14:paraId="2B633498" w14:textId="77777777" w:rsidR="007A76CD" w:rsidRPr="00DB556E" w:rsidRDefault="007A76CD" w:rsidP="00594050">
      <w:pPr>
        <w:rPr>
          <w:rFonts w:cs="Times New Roman"/>
        </w:rPr>
      </w:pPr>
      <w:r w:rsidRPr="00DB556E">
        <w:rPr>
          <w:rFonts w:eastAsiaTheme="majorEastAsia"/>
          <w:noProof/>
          <w:lang w:eastAsia="es-GT"/>
        </w:rPr>
        <w:drawing>
          <wp:inline distT="0" distB="0" distL="0" distR="0" wp14:anchorId="77325B34" wp14:editId="59961A01">
            <wp:extent cx="5836920" cy="876300"/>
            <wp:effectExtent l="76200" t="38100" r="87630" b="11430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7E5690A"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597" w:name="_Toc42023975"/>
      <w:bookmarkStart w:id="598" w:name="_Toc42024026"/>
      <w:bookmarkStart w:id="599" w:name="_Toc42069116"/>
      <w:bookmarkStart w:id="600" w:name="_Toc49422062"/>
      <w:bookmarkStart w:id="601" w:name="_Toc49422088"/>
      <w:bookmarkStart w:id="602" w:name="_Toc49430667"/>
      <w:bookmarkStart w:id="603" w:name="_Toc49430693"/>
      <w:bookmarkStart w:id="604" w:name="_Toc49750470"/>
      <w:bookmarkStart w:id="605" w:name="_Toc49750720"/>
      <w:bookmarkStart w:id="606" w:name="_Toc49750748"/>
      <w:bookmarkStart w:id="607" w:name="_Toc55284834"/>
      <w:bookmarkStart w:id="608" w:name="_Toc55298852"/>
      <w:bookmarkStart w:id="609" w:name="_Toc55373835"/>
      <w:bookmarkStart w:id="610" w:name="_Toc55374009"/>
      <w:bookmarkStart w:id="611" w:name="_Toc55375146"/>
      <w:bookmarkStart w:id="612" w:name="_Toc55396554"/>
      <w:bookmarkStart w:id="613" w:name="_Toc65230551"/>
      <w:bookmarkStart w:id="614" w:name="_Toc65230789"/>
      <w:bookmarkStart w:id="615" w:name="_Toc65232073"/>
      <w:bookmarkStart w:id="616" w:name="_Toc65232318"/>
      <w:bookmarkStart w:id="617" w:name="_Toc66716177"/>
      <w:bookmarkStart w:id="618" w:name="_Toc71097221"/>
      <w:bookmarkStart w:id="619" w:name="_Toc71097252"/>
      <w:bookmarkStart w:id="620" w:name="_Toc71097327"/>
      <w:bookmarkStart w:id="621" w:name="_Toc71108067"/>
      <w:bookmarkStart w:id="622" w:name="_Toc79055261"/>
      <w:bookmarkStart w:id="623" w:name="_Toc79055292"/>
      <w:bookmarkStart w:id="624" w:name="_Toc79060183"/>
      <w:bookmarkStart w:id="625" w:name="_Toc79060470"/>
      <w:bookmarkStart w:id="626" w:name="_Toc81307827"/>
      <w:bookmarkStart w:id="627" w:name="_Toc83376488"/>
      <w:bookmarkStart w:id="628" w:name="_Toc86386727"/>
      <w:bookmarkStart w:id="629" w:name="_Toc86405413"/>
      <w:bookmarkStart w:id="630" w:name="_Toc98162443"/>
      <w:bookmarkStart w:id="631" w:name="_Toc98162475"/>
      <w:bookmarkStart w:id="632" w:name="_Toc98235001"/>
      <w:bookmarkStart w:id="633" w:name="_Toc98235196"/>
      <w:bookmarkStart w:id="634" w:name="_Toc98235281"/>
      <w:bookmarkStart w:id="635" w:name="_Toc98757151"/>
      <w:bookmarkStart w:id="636" w:name="_Toc101874706"/>
      <w:bookmarkStart w:id="637" w:name="_Toc101954162"/>
      <w:bookmarkStart w:id="638" w:name="_Toc101971979"/>
      <w:bookmarkStart w:id="639" w:name="_Toc101974071"/>
      <w:bookmarkStart w:id="640" w:name="_Toc102039756"/>
      <w:bookmarkStart w:id="641" w:name="_Toc102039794"/>
      <w:bookmarkStart w:id="642" w:name="_Toc102039834"/>
      <w:bookmarkStart w:id="643" w:name="_Toc102039865"/>
      <w:bookmarkStart w:id="644" w:name="_Toc102040923"/>
      <w:bookmarkStart w:id="645" w:name="_Toc102477771"/>
      <w:bookmarkStart w:id="646" w:name="_Toc102477802"/>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56FB527D"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647" w:name="_Toc55374010"/>
      <w:bookmarkStart w:id="648" w:name="_Toc55375147"/>
      <w:bookmarkStart w:id="649" w:name="_Toc55396555"/>
      <w:bookmarkStart w:id="650" w:name="_Toc65230552"/>
      <w:bookmarkStart w:id="651" w:name="_Toc65230790"/>
      <w:bookmarkStart w:id="652" w:name="_Toc65232074"/>
      <w:bookmarkStart w:id="653" w:name="_Toc65232319"/>
      <w:bookmarkStart w:id="654" w:name="_Toc66716178"/>
      <w:bookmarkStart w:id="655" w:name="_Toc71097222"/>
      <w:bookmarkStart w:id="656" w:name="_Toc71097253"/>
      <w:bookmarkStart w:id="657" w:name="_Toc71097328"/>
      <w:bookmarkStart w:id="658" w:name="_Toc71108068"/>
      <w:bookmarkStart w:id="659" w:name="_Toc79055262"/>
      <w:bookmarkStart w:id="660" w:name="_Toc79055293"/>
      <w:bookmarkStart w:id="661" w:name="_Toc79060184"/>
      <w:bookmarkStart w:id="662" w:name="_Toc79060471"/>
      <w:bookmarkStart w:id="663" w:name="_Toc81307828"/>
      <w:bookmarkStart w:id="664" w:name="_Toc83376489"/>
      <w:bookmarkStart w:id="665" w:name="_Toc86386728"/>
      <w:bookmarkStart w:id="666" w:name="_Toc86405414"/>
      <w:bookmarkStart w:id="667" w:name="_Toc98162444"/>
      <w:bookmarkStart w:id="668" w:name="_Toc98162476"/>
      <w:bookmarkStart w:id="669" w:name="_Toc98235002"/>
      <w:bookmarkStart w:id="670" w:name="_Toc98235197"/>
      <w:bookmarkStart w:id="671" w:name="_Toc98235282"/>
      <w:bookmarkStart w:id="672" w:name="_Toc98757152"/>
      <w:bookmarkStart w:id="673" w:name="_Toc101874707"/>
      <w:bookmarkStart w:id="674" w:name="_Toc101954163"/>
      <w:bookmarkStart w:id="675" w:name="_Toc101971980"/>
      <w:bookmarkStart w:id="676" w:name="_Toc101974072"/>
      <w:bookmarkStart w:id="677" w:name="_Toc102039757"/>
      <w:bookmarkStart w:id="678" w:name="_Toc102039795"/>
      <w:bookmarkStart w:id="679" w:name="_Toc102039835"/>
      <w:bookmarkStart w:id="680" w:name="_Toc102039866"/>
      <w:bookmarkStart w:id="681" w:name="_Toc102040924"/>
      <w:bookmarkStart w:id="682" w:name="_Toc102477772"/>
      <w:bookmarkStart w:id="683" w:name="_Toc102477803"/>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0298658C"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684" w:name="_Toc55374011"/>
      <w:bookmarkStart w:id="685" w:name="_Toc55375148"/>
      <w:bookmarkStart w:id="686" w:name="_Toc55396556"/>
      <w:bookmarkStart w:id="687" w:name="_Toc65230553"/>
      <w:bookmarkStart w:id="688" w:name="_Toc65230791"/>
      <w:bookmarkStart w:id="689" w:name="_Toc65232075"/>
      <w:bookmarkStart w:id="690" w:name="_Toc65232320"/>
      <w:bookmarkStart w:id="691" w:name="_Toc66716179"/>
      <w:bookmarkStart w:id="692" w:name="_Toc71097223"/>
      <w:bookmarkStart w:id="693" w:name="_Toc71097254"/>
      <w:bookmarkStart w:id="694" w:name="_Toc71097329"/>
      <w:bookmarkStart w:id="695" w:name="_Toc71108069"/>
      <w:bookmarkStart w:id="696" w:name="_Toc79055263"/>
      <w:bookmarkStart w:id="697" w:name="_Toc79055294"/>
      <w:bookmarkStart w:id="698" w:name="_Toc79060185"/>
      <w:bookmarkStart w:id="699" w:name="_Toc79060472"/>
      <w:bookmarkStart w:id="700" w:name="_Toc81307829"/>
      <w:bookmarkStart w:id="701" w:name="_Toc83376490"/>
      <w:bookmarkStart w:id="702" w:name="_Toc86386729"/>
      <w:bookmarkStart w:id="703" w:name="_Toc86405415"/>
      <w:bookmarkStart w:id="704" w:name="_Toc98162445"/>
      <w:bookmarkStart w:id="705" w:name="_Toc98162477"/>
      <w:bookmarkStart w:id="706" w:name="_Toc98235003"/>
      <w:bookmarkStart w:id="707" w:name="_Toc98235198"/>
      <w:bookmarkStart w:id="708" w:name="_Toc98235283"/>
      <w:bookmarkStart w:id="709" w:name="_Toc98757153"/>
      <w:bookmarkStart w:id="710" w:name="_Toc101874708"/>
      <w:bookmarkStart w:id="711" w:name="_Toc101954164"/>
      <w:bookmarkStart w:id="712" w:name="_Toc101971981"/>
      <w:bookmarkStart w:id="713" w:name="_Toc101974073"/>
      <w:bookmarkStart w:id="714" w:name="_Toc102039758"/>
      <w:bookmarkStart w:id="715" w:name="_Toc102039796"/>
      <w:bookmarkStart w:id="716" w:name="_Toc102039836"/>
      <w:bookmarkStart w:id="717" w:name="_Toc102039867"/>
      <w:bookmarkStart w:id="718" w:name="_Toc102040925"/>
      <w:bookmarkStart w:id="719" w:name="_Toc102477773"/>
      <w:bookmarkStart w:id="720" w:name="_Toc102477804"/>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p>
    <w:p w14:paraId="2B7C610F"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721" w:name="_Toc55374012"/>
      <w:bookmarkStart w:id="722" w:name="_Toc55375149"/>
      <w:bookmarkStart w:id="723" w:name="_Toc55396557"/>
      <w:bookmarkStart w:id="724" w:name="_Toc65230554"/>
      <w:bookmarkStart w:id="725" w:name="_Toc65230792"/>
      <w:bookmarkStart w:id="726" w:name="_Toc65232076"/>
      <w:bookmarkStart w:id="727" w:name="_Toc65232321"/>
      <w:bookmarkStart w:id="728" w:name="_Toc66716180"/>
      <w:bookmarkStart w:id="729" w:name="_Toc71097224"/>
      <w:bookmarkStart w:id="730" w:name="_Toc71097255"/>
      <w:bookmarkStart w:id="731" w:name="_Toc71097330"/>
      <w:bookmarkStart w:id="732" w:name="_Toc71108070"/>
      <w:bookmarkStart w:id="733" w:name="_Toc79055264"/>
      <w:bookmarkStart w:id="734" w:name="_Toc79055295"/>
      <w:bookmarkStart w:id="735" w:name="_Toc79060186"/>
      <w:bookmarkStart w:id="736" w:name="_Toc79060473"/>
      <w:bookmarkStart w:id="737" w:name="_Toc81307830"/>
      <w:bookmarkStart w:id="738" w:name="_Toc83376491"/>
      <w:bookmarkStart w:id="739" w:name="_Toc86386730"/>
      <w:bookmarkStart w:id="740" w:name="_Toc86405416"/>
      <w:bookmarkStart w:id="741" w:name="_Toc98162446"/>
      <w:bookmarkStart w:id="742" w:name="_Toc98162478"/>
      <w:bookmarkStart w:id="743" w:name="_Toc98235004"/>
      <w:bookmarkStart w:id="744" w:name="_Toc98235199"/>
      <w:bookmarkStart w:id="745" w:name="_Toc98235284"/>
      <w:bookmarkStart w:id="746" w:name="_Toc98757154"/>
      <w:bookmarkStart w:id="747" w:name="_Toc101874709"/>
      <w:bookmarkStart w:id="748" w:name="_Toc101954165"/>
      <w:bookmarkStart w:id="749" w:name="_Toc101971982"/>
      <w:bookmarkStart w:id="750" w:name="_Toc101974074"/>
      <w:bookmarkStart w:id="751" w:name="_Toc102039759"/>
      <w:bookmarkStart w:id="752" w:name="_Toc102039797"/>
      <w:bookmarkStart w:id="753" w:name="_Toc102039837"/>
      <w:bookmarkStart w:id="754" w:name="_Toc102039868"/>
      <w:bookmarkStart w:id="755" w:name="_Toc102040926"/>
      <w:bookmarkStart w:id="756" w:name="_Toc102477774"/>
      <w:bookmarkStart w:id="757" w:name="_Toc102477805"/>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5DA454F1" w14:textId="77777777" w:rsidR="000F19C1" w:rsidRPr="00DB556E" w:rsidRDefault="000F19C1" w:rsidP="000F19C1">
      <w:pPr>
        <w:pStyle w:val="Prrafodelista"/>
        <w:keepNext/>
        <w:keepLines/>
        <w:numPr>
          <w:ilvl w:val="0"/>
          <w:numId w:val="43"/>
        </w:numPr>
        <w:tabs>
          <w:tab w:val="left" w:pos="426"/>
        </w:tabs>
        <w:spacing w:after="120"/>
        <w:contextualSpacing w:val="0"/>
        <w:outlineLvl w:val="1"/>
        <w:rPr>
          <w:rFonts w:eastAsiaTheme="majorEastAsia" w:cs="Times New Roman"/>
          <w:b/>
          <w:bCs/>
          <w:vanish/>
          <w:sz w:val="24"/>
          <w:szCs w:val="26"/>
          <w:lang w:eastAsia="es-ES"/>
        </w:rPr>
      </w:pPr>
      <w:bookmarkStart w:id="758" w:name="_Toc55374013"/>
      <w:bookmarkStart w:id="759" w:name="_Toc55375150"/>
      <w:bookmarkStart w:id="760" w:name="_Toc55396558"/>
      <w:bookmarkStart w:id="761" w:name="_Toc65230555"/>
      <w:bookmarkStart w:id="762" w:name="_Toc65230793"/>
      <w:bookmarkStart w:id="763" w:name="_Toc65232077"/>
      <w:bookmarkStart w:id="764" w:name="_Toc65232322"/>
      <w:bookmarkStart w:id="765" w:name="_Toc66716181"/>
      <w:bookmarkStart w:id="766" w:name="_Toc71097225"/>
      <w:bookmarkStart w:id="767" w:name="_Toc71097256"/>
      <w:bookmarkStart w:id="768" w:name="_Toc71097331"/>
      <w:bookmarkStart w:id="769" w:name="_Toc71108071"/>
      <w:bookmarkStart w:id="770" w:name="_Toc79055265"/>
      <w:bookmarkStart w:id="771" w:name="_Toc79055296"/>
      <w:bookmarkStart w:id="772" w:name="_Toc79060187"/>
      <w:bookmarkStart w:id="773" w:name="_Toc79060474"/>
      <w:bookmarkStart w:id="774" w:name="_Toc81307831"/>
      <w:bookmarkStart w:id="775" w:name="_Toc83376492"/>
      <w:bookmarkStart w:id="776" w:name="_Toc86386731"/>
      <w:bookmarkStart w:id="777" w:name="_Toc86405417"/>
      <w:bookmarkStart w:id="778" w:name="_Toc98162447"/>
      <w:bookmarkStart w:id="779" w:name="_Toc98162479"/>
      <w:bookmarkStart w:id="780" w:name="_Toc98235005"/>
      <w:bookmarkStart w:id="781" w:name="_Toc98235200"/>
      <w:bookmarkStart w:id="782" w:name="_Toc98235285"/>
      <w:bookmarkStart w:id="783" w:name="_Toc98757155"/>
      <w:bookmarkStart w:id="784" w:name="_Toc101874710"/>
      <w:bookmarkStart w:id="785" w:name="_Toc101954166"/>
      <w:bookmarkStart w:id="786" w:name="_Toc101971983"/>
      <w:bookmarkStart w:id="787" w:name="_Toc101974075"/>
      <w:bookmarkStart w:id="788" w:name="_Toc102039760"/>
      <w:bookmarkStart w:id="789" w:name="_Toc102039798"/>
      <w:bookmarkStart w:id="790" w:name="_Toc102039838"/>
      <w:bookmarkStart w:id="791" w:name="_Toc102039869"/>
      <w:bookmarkStart w:id="792" w:name="_Toc102040927"/>
      <w:bookmarkStart w:id="793" w:name="_Toc102477775"/>
      <w:bookmarkStart w:id="794" w:name="_Toc102477806"/>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p>
    <w:p w14:paraId="045B7FE4" w14:textId="77777777" w:rsidR="00C56688" w:rsidRPr="00DB556E" w:rsidRDefault="00C56688" w:rsidP="00C56688">
      <w:pPr>
        <w:pStyle w:val="Prrafodelista"/>
        <w:keepNext/>
        <w:keepLines/>
        <w:numPr>
          <w:ilvl w:val="0"/>
          <w:numId w:val="12"/>
        </w:numPr>
        <w:tabs>
          <w:tab w:val="left" w:pos="426"/>
        </w:tabs>
        <w:spacing w:after="120"/>
        <w:contextualSpacing w:val="0"/>
        <w:outlineLvl w:val="1"/>
        <w:rPr>
          <w:rFonts w:eastAsiaTheme="majorEastAsia" w:cs="Times New Roman"/>
          <w:b/>
          <w:bCs/>
          <w:vanish/>
          <w:sz w:val="24"/>
          <w:szCs w:val="26"/>
          <w:lang w:eastAsia="es-ES"/>
        </w:rPr>
      </w:pPr>
      <w:bookmarkStart w:id="795" w:name="_Toc55374014"/>
      <w:bookmarkStart w:id="796" w:name="_Toc55375151"/>
      <w:bookmarkStart w:id="797" w:name="_Toc55396559"/>
      <w:bookmarkStart w:id="798" w:name="_Toc65230556"/>
      <w:bookmarkStart w:id="799" w:name="_Toc65230794"/>
      <w:bookmarkStart w:id="800" w:name="_Toc65232078"/>
      <w:bookmarkStart w:id="801" w:name="_Toc65232323"/>
      <w:bookmarkStart w:id="802" w:name="_Toc66716182"/>
      <w:bookmarkStart w:id="803" w:name="_Toc71097226"/>
      <w:bookmarkStart w:id="804" w:name="_Toc71097257"/>
      <w:bookmarkStart w:id="805" w:name="_Toc71097332"/>
      <w:bookmarkStart w:id="806" w:name="_Toc71108072"/>
      <w:bookmarkStart w:id="807" w:name="_Toc79055266"/>
      <w:bookmarkStart w:id="808" w:name="_Toc79055297"/>
      <w:bookmarkStart w:id="809" w:name="_Toc79060188"/>
      <w:bookmarkStart w:id="810" w:name="_Toc79060475"/>
      <w:bookmarkStart w:id="811" w:name="_Toc81307832"/>
      <w:bookmarkStart w:id="812" w:name="_Toc83376493"/>
      <w:bookmarkStart w:id="813" w:name="_Toc86386732"/>
      <w:bookmarkStart w:id="814" w:name="_Toc86405418"/>
      <w:bookmarkStart w:id="815" w:name="_Toc98162448"/>
      <w:bookmarkStart w:id="816" w:name="_Toc98162480"/>
      <w:bookmarkStart w:id="817" w:name="_Toc98235006"/>
      <w:bookmarkStart w:id="818" w:name="_Toc98235201"/>
      <w:bookmarkStart w:id="819" w:name="_Toc98235286"/>
      <w:bookmarkStart w:id="820" w:name="_Toc98757156"/>
      <w:bookmarkStart w:id="821" w:name="_Toc101874711"/>
      <w:bookmarkStart w:id="822" w:name="_Toc101954167"/>
      <w:bookmarkStart w:id="823" w:name="_Toc101971984"/>
      <w:bookmarkStart w:id="824" w:name="_Toc101974076"/>
      <w:bookmarkStart w:id="825" w:name="_Toc102039761"/>
      <w:bookmarkStart w:id="826" w:name="_Toc102039799"/>
      <w:bookmarkStart w:id="827" w:name="_Toc102039839"/>
      <w:bookmarkStart w:id="828" w:name="_Toc102039870"/>
      <w:bookmarkStart w:id="829" w:name="_Toc102040928"/>
      <w:bookmarkStart w:id="830" w:name="_Toc102477776"/>
      <w:bookmarkStart w:id="831" w:name="_Toc102477807"/>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545F53E" w14:textId="77777777" w:rsidR="00490038" w:rsidRPr="00DB556E" w:rsidRDefault="00490038" w:rsidP="00C56688">
      <w:pPr>
        <w:pStyle w:val="Ttulo2"/>
        <w:numPr>
          <w:ilvl w:val="1"/>
          <w:numId w:val="12"/>
        </w:numPr>
        <w:tabs>
          <w:tab w:val="left" w:pos="426"/>
        </w:tabs>
        <w:spacing w:before="0"/>
        <w:rPr>
          <w:rFonts w:ascii="Times New Roman" w:hAnsi="Times New Roman" w:cs="Times New Roman"/>
          <w:color w:val="auto"/>
          <w:sz w:val="24"/>
        </w:rPr>
      </w:pPr>
      <w:bookmarkStart w:id="832" w:name="_Toc102477808"/>
      <w:r w:rsidRPr="00DB556E">
        <w:rPr>
          <w:rFonts w:ascii="Times New Roman" w:hAnsi="Times New Roman" w:cs="Times New Roman"/>
          <w:color w:val="auto"/>
          <w:sz w:val="24"/>
        </w:rPr>
        <w:t>Erogaciones por Función</w:t>
      </w:r>
      <w:r w:rsidR="00745870" w:rsidRPr="00DB556E">
        <w:rPr>
          <w:rFonts w:ascii="Times New Roman" w:hAnsi="Times New Roman" w:cs="Times New Roman"/>
          <w:color w:val="auto"/>
          <w:sz w:val="24"/>
        </w:rPr>
        <w:t xml:space="preserve"> aumentaron</w:t>
      </w:r>
      <w:bookmarkEnd w:id="832"/>
    </w:p>
    <w:p w14:paraId="27DE13D5" w14:textId="3074A4D4" w:rsidR="0050196D" w:rsidRPr="00DB556E" w:rsidRDefault="002400B8" w:rsidP="00CD34D6">
      <w:pPr>
        <w:rPr>
          <w:rFonts w:cs="Times New Roman"/>
        </w:rPr>
      </w:pPr>
      <w:r w:rsidRPr="00DB556E">
        <w:rPr>
          <w:rFonts w:cs="Times New Roman"/>
        </w:rPr>
        <w:t>La erogación total del Gobierno Central Presupuestario</w:t>
      </w:r>
      <w:r w:rsidR="0050196D" w:rsidRPr="00DB556E">
        <w:rPr>
          <w:rFonts w:cs="Times New Roman"/>
        </w:rPr>
        <w:t xml:space="preserve"> dura</w:t>
      </w:r>
      <w:r w:rsidR="000D7805" w:rsidRPr="00DB556E">
        <w:rPr>
          <w:rFonts w:cs="Times New Roman"/>
        </w:rPr>
        <w:t xml:space="preserve">nte el primer trimestre del año fue de </w:t>
      </w:r>
      <w:r w:rsidR="006B33B4" w:rsidRPr="00DB556E">
        <w:rPr>
          <w:rFonts w:cs="Times New Roman"/>
        </w:rPr>
        <w:t>Q21,084.2 millones</w:t>
      </w:r>
      <w:r w:rsidR="001574E6" w:rsidRPr="00DB556E">
        <w:rPr>
          <w:rFonts w:cs="Times New Roman"/>
        </w:rPr>
        <w:t>,</w:t>
      </w:r>
      <w:r w:rsidR="009A798A" w:rsidRPr="00DB556E">
        <w:rPr>
          <w:rFonts w:cs="Times New Roman"/>
        </w:rPr>
        <w:t xml:space="preserve"> con un crecimiento interanual de 19.1% (Q3,387.8 millones)</w:t>
      </w:r>
      <w:r w:rsidR="00BC6990" w:rsidRPr="00DB556E">
        <w:rPr>
          <w:rFonts w:cs="Times New Roman"/>
        </w:rPr>
        <w:t xml:space="preserve"> en los cuales los enfocados en </w:t>
      </w:r>
      <w:r w:rsidR="0045598B" w:rsidRPr="00DB556E">
        <w:rPr>
          <w:rFonts w:cs="Times New Roman"/>
        </w:rPr>
        <w:t>la función</w:t>
      </w:r>
      <w:r w:rsidR="00BC6990" w:rsidRPr="00DB556E">
        <w:rPr>
          <w:rFonts w:cs="Times New Roman"/>
        </w:rPr>
        <w:t xml:space="preserve"> de salud fueron los que experimentaron un mayor crecimiento respecto al año previo,</w:t>
      </w:r>
      <w:r w:rsidR="006475CE" w:rsidRPr="00DB556E">
        <w:rPr>
          <w:rFonts w:cs="Times New Roman"/>
        </w:rPr>
        <w:t xml:space="preserve"> el total ejecutado hasta el mes de marzo </w:t>
      </w:r>
      <w:r w:rsidR="00797879" w:rsidRPr="00DB556E">
        <w:rPr>
          <w:rFonts w:cs="Times New Roman"/>
        </w:rPr>
        <w:t xml:space="preserve">en esta función </w:t>
      </w:r>
      <w:r w:rsidR="006475CE" w:rsidRPr="00DB556E">
        <w:rPr>
          <w:rFonts w:cs="Times New Roman"/>
        </w:rPr>
        <w:t xml:space="preserve">es </w:t>
      </w:r>
      <w:r w:rsidR="00D207DB" w:rsidRPr="00DB556E">
        <w:rPr>
          <w:rFonts w:cs="Times New Roman"/>
        </w:rPr>
        <w:t>de Q</w:t>
      </w:r>
      <w:r w:rsidR="006475CE" w:rsidRPr="00DB556E">
        <w:rPr>
          <w:rFonts w:cs="Times New Roman"/>
        </w:rPr>
        <w:t>2,430.9</w:t>
      </w:r>
      <w:r w:rsidR="00797879" w:rsidRPr="00DB556E">
        <w:rPr>
          <w:rFonts w:cs="Times New Roman"/>
        </w:rPr>
        <w:t xml:space="preserve"> con una variación de 42.1% (Q720.7)</w:t>
      </w:r>
      <w:r w:rsidR="00332B04" w:rsidRPr="00DB556E">
        <w:rPr>
          <w:rFonts w:cs="Times New Roman"/>
        </w:rPr>
        <w:t>.</w:t>
      </w:r>
    </w:p>
    <w:p w14:paraId="0DAB90B9" w14:textId="77777777" w:rsidR="007B3242" w:rsidRPr="00DB556E" w:rsidRDefault="007B3242" w:rsidP="00CD34D6">
      <w:pPr>
        <w:rPr>
          <w:rFonts w:cs="Times New Roman"/>
        </w:rPr>
      </w:pPr>
    </w:p>
    <w:p w14:paraId="09DBC17B" w14:textId="18D42BFB" w:rsidR="002F5792" w:rsidRPr="00DB556E" w:rsidRDefault="007B3242" w:rsidP="00CD34D6">
      <w:pPr>
        <w:rPr>
          <w:rFonts w:cs="Times New Roman"/>
        </w:rPr>
      </w:pPr>
      <w:r w:rsidRPr="00DB556E">
        <w:rPr>
          <w:rFonts w:cs="Times New Roman"/>
        </w:rPr>
        <w:t xml:space="preserve">La </w:t>
      </w:r>
      <w:r w:rsidR="00DB54C4" w:rsidRPr="00DB556E">
        <w:rPr>
          <w:rFonts w:cs="Times New Roman"/>
        </w:rPr>
        <w:t xml:space="preserve">segunda </w:t>
      </w:r>
      <w:r w:rsidRPr="00DB556E">
        <w:rPr>
          <w:rFonts w:cs="Times New Roman"/>
        </w:rPr>
        <w:t>función</w:t>
      </w:r>
      <w:r w:rsidR="006A757A" w:rsidRPr="00DB556E">
        <w:rPr>
          <w:rFonts w:cs="Times New Roman"/>
        </w:rPr>
        <w:t xml:space="preserve"> </w:t>
      </w:r>
      <w:r w:rsidR="00DB54C4" w:rsidRPr="00DB556E">
        <w:rPr>
          <w:rFonts w:cs="Times New Roman"/>
        </w:rPr>
        <w:t>con mayor crecimiento observado en el primer trimestre son los</w:t>
      </w:r>
      <w:r w:rsidR="00751A4A" w:rsidRPr="00DB556E">
        <w:rPr>
          <w:rFonts w:cs="Times New Roman"/>
        </w:rPr>
        <w:t xml:space="preserve"> Servicios Públicos Generales</w:t>
      </w:r>
      <w:r w:rsidR="00684A24" w:rsidRPr="00DB556E">
        <w:rPr>
          <w:rFonts w:cs="Times New Roman"/>
        </w:rPr>
        <w:t>,</w:t>
      </w:r>
      <w:r w:rsidR="006406C4" w:rsidRPr="00DB556E">
        <w:rPr>
          <w:rFonts w:cs="Times New Roman"/>
        </w:rPr>
        <w:t xml:space="preserve"> </w:t>
      </w:r>
      <w:r w:rsidR="00B605B9" w:rsidRPr="00DB556E">
        <w:rPr>
          <w:rFonts w:cs="Times New Roman"/>
        </w:rPr>
        <w:t xml:space="preserve">los </w:t>
      </w:r>
      <w:r w:rsidR="003C62F4" w:rsidRPr="00DB556E">
        <w:rPr>
          <w:rFonts w:cs="Times New Roman"/>
        </w:rPr>
        <w:t>cuales</w:t>
      </w:r>
      <w:r w:rsidR="00B605B9" w:rsidRPr="00DB556E">
        <w:rPr>
          <w:rFonts w:cs="Times New Roman"/>
        </w:rPr>
        <w:t xml:space="preserve"> </w:t>
      </w:r>
      <w:r w:rsidR="003C62F4" w:rsidRPr="00DB556E">
        <w:rPr>
          <w:rFonts w:cs="Times New Roman"/>
        </w:rPr>
        <w:t>se encuentran entorno a Q3,564.8 millones</w:t>
      </w:r>
      <w:r w:rsidR="006F0849" w:rsidRPr="00DB556E">
        <w:rPr>
          <w:rFonts w:cs="Times New Roman"/>
        </w:rPr>
        <w:t>,</w:t>
      </w:r>
      <w:r w:rsidR="003C62F4" w:rsidRPr="00DB556E">
        <w:rPr>
          <w:rFonts w:cs="Times New Roman"/>
        </w:rPr>
        <w:t xml:space="preserve"> con un incremento de 20.8% (Q612.6 millones)</w:t>
      </w:r>
      <w:r w:rsidR="008852E2" w:rsidRPr="00DB556E">
        <w:rPr>
          <w:rFonts w:cs="Times New Roman"/>
        </w:rPr>
        <w:t xml:space="preserve">. Dentro de esta categoría, el que presta </w:t>
      </w:r>
      <w:r w:rsidR="00323E4D" w:rsidRPr="00DB556E">
        <w:rPr>
          <w:rFonts w:cs="Times New Roman"/>
        </w:rPr>
        <w:t>una mayor variación interanual</w:t>
      </w:r>
      <w:r w:rsidR="00D61A22" w:rsidRPr="00DB556E">
        <w:rPr>
          <w:rFonts w:cs="Times New Roman"/>
        </w:rPr>
        <w:t xml:space="preserve"> fue en transacciones de deuda, las cuales se sitúan en Q2,077.8</w:t>
      </w:r>
      <w:r w:rsidR="00950BA5" w:rsidRPr="00DB556E">
        <w:rPr>
          <w:rFonts w:cs="Times New Roman"/>
        </w:rPr>
        <w:t xml:space="preserve"> millones,</w:t>
      </w:r>
      <w:r w:rsidR="00D61A22" w:rsidRPr="00DB556E">
        <w:rPr>
          <w:rFonts w:cs="Times New Roman"/>
        </w:rPr>
        <w:t xml:space="preserve"> con un incremento de 14.1% (Q257.1 millones)</w:t>
      </w:r>
      <w:r w:rsidR="00572699" w:rsidRPr="00DB556E">
        <w:rPr>
          <w:rFonts w:cs="Times New Roman"/>
        </w:rPr>
        <w:t xml:space="preserve"> seguido de los servicios públicos generales no clasificados en otra</w:t>
      </w:r>
      <w:r w:rsidR="00A879A6" w:rsidRPr="00DB556E">
        <w:rPr>
          <w:rFonts w:cs="Times New Roman"/>
        </w:rPr>
        <w:t xml:space="preserve"> partida</w:t>
      </w:r>
      <w:r w:rsidR="00EC6165" w:rsidRPr="00DB556E">
        <w:rPr>
          <w:rFonts w:cs="Times New Roman"/>
        </w:rPr>
        <w:t xml:space="preserve"> que asciende a </w:t>
      </w:r>
      <w:r w:rsidR="00755F24" w:rsidRPr="00DB556E">
        <w:rPr>
          <w:rFonts w:cs="Times New Roman"/>
        </w:rPr>
        <w:t>Q312.6 millones</w:t>
      </w:r>
      <w:r w:rsidR="007538D7" w:rsidRPr="00DB556E">
        <w:rPr>
          <w:rFonts w:cs="Times New Roman"/>
        </w:rPr>
        <w:t>,</w:t>
      </w:r>
      <w:r w:rsidR="00755F24" w:rsidRPr="00DB556E">
        <w:rPr>
          <w:rFonts w:cs="Times New Roman"/>
        </w:rPr>
        <w:t xml:space="preserve"> teniendo un aumento interanual de 219.4% (</w:t>
      </w:r>
      <w:r w:rsidR="007A7F70" w:rsidRPr="00DB556E">
        <w:rPr>
          <w:rFonts w:cs="Times New Roman"/>
        </w:rPr>
        <w:t>Q2</w:t>
      </w:r>
      <w:r w:rsidR="000B4A3D" w:rsidRPr="00DB556E">
        <w:rPr>
          <w:rFonts w:cs="Times New Roman"/>
        </w:rPr>
        <w:t>14</w:t>
      </w:r>
      <w:r w:rsidR="007A7F70" w:rsidRPr="00DB556E">
        <w:rPr>
          <w:rFonts w:cs="Times New Roman"/>
        </w:rPr>
        <w:t>.</w:t>
      </w:r>
      <w:r w:rsidR="000B4A3D" w:rsidRPr="00DB556E">
        <w:rPr>
          <w:rFonts w:cs="Times New Roman"/>
        </w:rPr>
        <w:t>7</w:t>
      </w:r>
      <w:r w:rsidR="007A7F70" w:rsidRPr="00DB556E">
        <w:rPr>
          <w:rFonts w:cs="Times New Roman"/>
        </w:rPr>
        <w:t xml:space="preserve"> millones)</w:t>
      </w:r>
      <w:r w:rsidR="001D10C0" w:rsidRPr="00DB556E">
        <w:rPr>
          <w:rFonts w:cs="Times New Roman"/>
        </w:rPr>
        <w:t xml:space="preserve"> y que cabe mencionar, </w:t>
      </w:r>
      <w:r w:rsidR="00BD4CB4" w:rsidRPr="00DB556E">
        <w:rPr>
          <w:rFonts w:cs="Times New Roman"/>
        </w:rPr>
        <w:t xml:space="preserve">en este grupo se </w:t>
      </w:r>
      <w:r w:rsidR="001D10C0" w:rsidRPr="00DB556E">
        <w:rPr>
          <w:rFonts w:cs="Times New Roman"/>
        </w:rPr>
        <w:t xml:space="preserve">incluye </w:t>
      </w:r>
      <w:r w:rsidR="005B2558" w:rsidRPr="00DB556E">
        <w:rPr>
          <w:rFonts w:cs="Times New Roman"/>
        </w:rPr>
        <w:t xml:space="preserve">la transferencia otorgada el Tribunal Supremo Electoral que </w:t>
      </w:r>
      <w:r w:rsidR="00586072" w:rsidRPr="00DB556E">
        <w:rPr>
          <w:rFonts w:cs="Times New Roman"/>
        </w:rPr>
        <w:t xml:space="preserve">es superior en </w:t>
      </w:r>
      <w:r w:rsidR="000A2D1D" w:rsidRPr="00DB556E">
        <w:rPr>
          <w:rFonts w:cs="Times New Roman"/>
        </w:rPr>
        <w:t>Q</w:t>
      </w:r>
      <w:r w:rsidR="00586072" w:rsidRPr="00DB556E">
        <w:rPr>
          <w:rFonts w:cs="Times New Roman"/>
        </w:rPr>
        <w:t>200.9 millones a l</w:t>
      </w:r>
      <w:r w:rsidR="00DF62D7" w:rsidRPr="00DB556E">
        <w:rPr>
          <w:rFonts w:cs="Times New Roman"/>
        </w:rPr>
        <w:t xml:space="preserve">a transferencia otorgada en </w:t>
      </w:r>
      <w:r w:rsidR="00C82A61" w:rsidRPr="00DB556E">
        <w:rPr>
          <w:rFonts w:cs="Times New Roman"/>
        </w:rPr>
        <w:t>2021</w:t>
      </w:r>
      <w:r w:rsidR="007538D7" w:rsidRPr="00DB556E">
        <w:rPr>
          <w:rFonts w:cs="Times New Roman"/>
        </w:rPr>
        <w:t xml:space="preserve"> por la razón indicada supra.</w:t>
      </w:r>
    </w:p>
    <w:p w14:paraId="4E9A4EF8" w14:textId="77777777" w:rsidR="007F3BED" w:rsidRPr="00DB556E" w:rsidRDefault="007F3BED" w:rsidP="00CD34D6">
      <w:pPr>
        <w:rPr>
          <w:rFonts w:cs="Times New Roman"/>
        </w:rPr>
      </w:pPr>
    </w:p>
    <w:p w14:paraId="10D45E48" w14:textId="308BB693" w:rsidR="007F3BED" w:rsidRPr="00DB556E" w:rsidRDefault="007F3BED" w:rsidP="00CD34D6">
      <w:pPr>
        <w:rPr>
          <w:rFonts w:cs="Times New Roman"/>
        </w:rPr>
      </w:pPr>
      <w:r w:rsidRPr="00DB556E">
        <w:rPr>
          <w:rFonts w:cs="Times New Roman"/>
        </w:rPr>
        <w:t>Por su parte</w:t>
      </w:r>
      <w:r w:rsidR="00F510E7" w:rsidRPr="00DB556E">
        <w:rPr>
          <w:rFonts w:cs="Times New Roman"/>
        </w:rPr>
        <w:t xml:space="preserve">, las erogaciones destinadas a </w:t>
      </w:r>
      <w:r w:rsidR="008B1D76" w:rsidRPr="00DB556E">
        <w:rPr>
          <w:rFonts w:cs="Times New Roman"/>
        </w:rPr>
        <w:t xml:space="preserve">asuntos económicos </w:t>
      </w:r>
      <w:r w:rsidR="009F37E1" w:rsidRPr="00DB556E">
        <w:rPr>
          <w:rFonts w:cs="Times New Roman"/>
        </w:rPr>
        <w:t>se elevan a Q1,473.7 millones</w:t>
      </w:r>
      <w:r w:rsidR="0016259E" w:rsidRPr="00DB556E">
        <w:rPr>
          <w:rFonts w:cs="Times New Roman"/>
        </w:rPr>
        <w:t>,</w:t>
      </w:r>
      <w:r w:rsidR="009F37E1" w:rsidRPr="00DB556E">
        <w:rPr>
          <w:rFonts w:cs="Times New Roman"/>
        </w:rPr>
        <w:t xml:space="preserve"> con un incremento de 45.9% (Q</w:t>
      </w:r>
      <w:r w:rsidR="00D8542A" w:rsidRPr="00DB556E">
        <w:rPr>
          <w:rFonts w:cs="Times New Roman"/>
        </w:rPr>
        <w:t>463.5 millones)</w:t>
      </w:r>
      <w:r w:rsidR="000C283B" w:rsidRPr="00DB556E">
        <w:rPr>
          <w:rFonts w:cs="Times New Roman"/>
        </w:rPr>
        <w:t xml:space="preserve"> </w:t>
      </w:r>
      <w:r w:rsidR="000A2D1D" w:rsidRPr="00DB556E">
        <w:rPr>
          <w:rFonts w:cs="Times New Roman"/>
        </w:rPr>
        <w:t>explicado en buena medida</w:t>
      </w:r>
      <w:r w:rsidR="005F4498" w:rsidRPr="00DB556E">
        <w:rPr>
          <w:rFonts w:cs="Times New Roman"/>
        </w:rPr>
        <w:t xml:space="preserve"> </w:t>
      </w:r>
      <w:r w:rsidR="000C283B" w:rsidRPr="00DB556E">
        <w:rPr>
          <w:rFonts w:cs="Times New Roman"/>
        </w:rPr>
        <w:t>a las enfocadas en transporte</w:t>
      </w:r>
      <w:r w:rsidR="005F4498" w:rsidRPr="00DB556E">
        <w:rPr>
          <w:rFonts w:cs="Times New Roman"/>
        </w:rPr>
        <w:t xml:space="preserve"> (este incluye la construcción de bienes nacionales de uso común) que se sitúa en </w:t>
      </w:r>
      <w:r w:rsidR="00816EBE" w:rsidRPr="00DB556E">
        <w:rPr>
          <w:rFonts w:cs="Times New Roman"/>
        </w:rPr>
        <w:t>Q912.01 millones</w:t>
      </w:r>
      <w:r w:rsidR="0016259E" w:rsidRPr="00DB556E">
        <w:rPr>
          <w:rFonts w:cs="Times New Roman"/>
        </w:rPr>
        <w:t>,</w:t>
      </w:r>
      <w:r w:rsidR="00816EBE" w:rsidRPr="00DB556E">
        <w:rPr>
          <w:rFonts w:cs="Times New Roman"/>
        </w:rPr>
        <w:t xml:space="preserve"> con un </w:t>
      </w:r>
      <w:r w:rsidR="0016259E" w:rsidRPr="00DB556E">
        <w:rPr>
          <w:rFonts w:cs="Times New Roman"/>
        </w:rPr>
        <w:t>incremento</w:t>
      </w:r>
      <w:r w:rsidR="00816EBE" w:rsidRPr="00DB556E">
        <w:rPr>
          <w:rFonts w:cs="Times New Roman"/>
        </w:rPr>
        <w:t xml:space="preserve"> de </w:t>
      </w:r>
      <w:r w:rsidR="00EE74F3" w:rsidRPr="00DB556E">
        <w:rPr>
          <w:rFonts w:cs="Times New Roman"/>
        </w:rPr>
        <w:t>30.6% (Q213.7 millones)</w:t>
      </w:r>
      <w:r w:rsidR="00082333" w:rsidRPr="00DB556E">
        <w:rPr>
          <w:rFonts w:cs="Times New Roman"/>
        </w:rPr>
        <w:t>.</w:t>
      </w:r>
      <w:r w:rsidR="00713884" w:rsidRPr="00DB556E">
        <w:rPr>
          <w:rFonts w:cs="Times New Roman"/>
        </w:rPr>
        <w:t xml:space="preserve"> </w:t>
      </w:r>
      <w:r w:rsidR="0016259E" w:rsidRPr="00DB556E">
        <w:rPr>
          <w:rFonts w:cs="Times New Roman"/>
        </w:rPr>
        <w:t>Asi</w:t>
      </w:r>
      <w:r w:rsidR="00713884" w:rsidRPr="00DB556E">
        <w:rPr>
          <w:rFonts w:cs="Times New Roman"/>
        </w:rPr>
        <w:t>mismo</w:t>
      </w:r>
      <w:r w:rsidR="0016259E" w:rsidRPr="00DB556E">
        <w:rPr>
          <w:rFonts w:cs="Times New Roman"/>
        </w:rPr>
        <w:t>,</w:t>
      </w:r>
      <w:r w:rsidR="00713884" w:rsidRPr="00DB556E">
        <w:rPr>
          <w:rFonts w:cs="Times New Roman"/>
        </w:rPr>
        <w:t xml:space="preserve"> también cabe </w:t>
      </w:r>
      <w:r w:rsidR="00220900" w:rsidRPr="00DB556E">
        <w:rPr>
          <w:rFonts w:cs="Times New Roman"/>
        </w:rPr>
        <w:t>destacar</w:t>
      </w:r>
      <w:r w:rsidR="00713884" w:rsidRPr="00DB556E">
        <w:rPr>
          <w:rFonts w:cs="Times New Roman"/>
        </w:rPr>
        <w:t xml:space="preserve"> </w:t>
      </w:r>
      <w:r w:rsidR="00220900" w:rsidRPr="00DB556E">
        <w:rPr>
          <w:rFonts w:cs="Times New Roman"/>
        </w:rPr>
        <w:t xml:space="preserve">los enfocados en combustibles y energía que asciende a Q145.2 millones </w:t>
      </w:r>
      <w:r w:rsidR="00CC6602" w:rsidRPr="00DB556E">
        <w:rPr>
          <w:rFonts w:cs="Times New Roman"/>
        </w:rPr>
        <w:t>con un aumento de 2,727.4% (</w:t>
      </w:r>
      <w:r w:rsidR="00A42F0A" w:rsidRPr="00DB556E">
        <w:rPr>
          <w:rFonts w:cs="Times New Roman"/>
        </w:rPr>
        <w:t xml:space="preserve">Q140.2 millones) </w:t>
      </w:r>
      <w:r w:rsidR="00F52218" w:rsidRPr="00DB556E">
        <w:rPr>
          <w:rFonts w:cs="Times New Roman"/>
        </w:rPr>
        <w:t xml:space="preserve">derivado </w:t>
      </w:r>
      <w:r w:rsidR="00103FCC" w:rsidRPr="00DB556E">
        <w:rPr>
          <w:rFonts w:cs="Times New Roman"/>
        </w:rPr>
        <w:t>al subsidios del gas propano.</w:t>
      </w:r>
    </w:p>
    <w:p w14:paraId="3E31AFFF" w14:textId="77777777" w:rsidR="00E15558" w:rsidRPr="00DB556E" w:rsidRDefault="00E15558" w:rsidP="00CD34D6">
      <w:pPr>
        <w:rPr>
          <w:rFonts w:cs="Times New Roman"/>
        </w:rPr>
      </w:pPr>
    </w:p>
    <w:p w14:paraId="13399A30" w14:textId="77777777" w:rsidR="00F80C82" w:rsidRPr="00DB556E" w:rsidRDefault="00F80C82" w:rsidP="00CD34D6">
      <w:pPr>
        <w:rPr>
          <w:rFonts w:cs="Times New Roman"/>
        </w:rPr>
      </w:pPr>
      <w:r w:rsidRPr="00DB556E">
        <w:rPr>
          <w:rFonts w:cs="Times New Roman"/>
          <w:noProof/>
          <w:lang w:eastAsia="es-GT"/>
        </w:rPr>
        <w:drawing>
          <wp:inline distT="0" distB="0" distL="0" distR="0" wp14:anchorId="611B702D" wp14:editId="002306C4">
            <wp:extent cx="5934710" cy="3371850"/>
            <wp:effectExtent l="0" t="0" r="889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DCE108" w14:textId="77777777" w:rsidR="000A2D1D" w:rsidRPr="00DB556E" w:rsidRDefault="000A2D1D" w:rsidP="00CD34D6">
      <w:pPr>
        <w:rPr>
          <w:rFonts w:cs="Times New Roman"/>
        </w:rPr>
      </w:pPr>
    </w:p>
    <w:p w14:paraId="6BB1AF38" w14:textId="2312822B" w:rsidR="00F80C82" w:rsidRPr="00DB556E" w:rsidRDefault="009D5495" w:rsidP="00CD34D6">
      <w:pPr>
        <w:rPr>
          <w:rFonts w:cs="Times New Roman"/>
        </w:rPr>
      </w:pPr>
      <w:r w:rsidRPr="00DB556E">
        <w:rPr>
          <w:rFonts w:cs="Times New Roman"/>
        </w:rPr>
        <w:t xml:space="preserve">En cuanto a </w:t>
      </w:r>
      <w:r w:rsidR="00790371" w:rsidRPr="00DB556E">
        <w:rPr>
          <w:rFonts w:cs="Times New Roman"/>
        </w:rPr>
        <w:t>las erogaciones realizadas</w:t>
      </w:r>
      <w:r w:rsidRPr="00DB556E">
        <w:rPr>
          <w:rFonts w:cs="Times New Roman"/>
        </w:rPr>
        <w:t xml:space="preserve"> para </w:t>
      </w:r>
      <w:r w:rsidR="00EA0479" w:rsidRPr="00DB556E">
        <w:rPr>
          <w:rFonts w:cs="Times New Roman"/>
        </w:rPr>
        <w:t>educación, estas se sitúan en Q5,166.5 millones</w:t>
      </w:r>
      <w:r w:rsidR="008319CF" w:rsidRPr="00DB556E">
        <w:rPr>
          <w:rFonts w:cs="Times New Roman"/>
        </w:rPr>
        <w:t>,</w:t>
      </w:r>
      <w:r w:rsidR="00EA0479" w:rsidRPr="00DB556E">
        <w:rPr>
          <w:rFonts w:cs="Times New Roman"/>
        </w:rPr>
        <w:t xml:space="preserve"> con un aumento de</w:t>
      </w:r>
      <w:r w:rsidR="00790371" w:rsidRPr="00DB556E">
        <w:rPr>
          <w:rFonts w:cs="Times New Roman"/>
        </w:rPr>
        <w:t xml:space="preserve">l 9.1% (Q431.0 millones), seguido </w:t>
      </w:r>
      <w:r w:rsidR="00E5792F" w:rsidRPr="00DB556E">
        <w:rPr>
          <w:rFonts w:cs="Times New Roman"/>
        </w:rPr>
        <w:t>de las destinadas a vivienda y servicios comunitarios</w:t>
      </w:r>
      <w:r w:rsidR="008E2751" w:rsidRPr="00DB556E">
        <w:rPr>
          <w:rFonts w:cs="Times New Roman"/>
        </w:rPr>
        <w:t xml:space="preserve"> que es de Q2,291.3 millones</w:t>
      </w:r>
      <w:r w:rsidR="008319CF" w:rsidRPr="00DB556E">
        <w:rPr>
          <w:rFonts w:cs="Times New Roman"/>
        </w:rPr>
        <w:t>,</w:t>
      </w:r>
      <w:r w:rsidR="008E2751" w:rsidRPr="00DB556E">
        <w:rPr>
          <w:rFonts w:cs="Times New Roman"/>
        </w:rPr>
        <w:t xml:space="preserve"> con un aumento de 18.1% (Q</w:t>
      </w:r>
      <w:r w:rsidR="002455E0" w:rsidRPr="00DB556E">
        <w:rPr>
          <w:rFonts w:cs="Times New Roman"/>
        </w:rPr>
        <w:t xml:space="preserve">351.9 millones). </w:t>
      </w:r>
    </w:p>
    <w:p w14:paraId="1A9BE3D8" w14:textId="77777777" w:rsidR="00F80C82" w:rsidRPr="00DB556E" w:rsidRDefault="00F80C82" w:rsidP="00CD34D6">
      <w:pPr>
        <w:rPr>
          <w:rFonts w:cs="Times New Roman"/>
        </w:rPr>
      </w:pPr>
    </w:p>
    <w:p w14:paraId="6980898B" w14:textId="22A47950" w:rsidR="00745870" w:rsidRPr="00DB556E" w:rsidRDefault="002455E0" w:rsidP="00CD34D6">
      <w:pPr>
        <w:rPr>
          <w:rFonts w:cs="Times New Roman"/>
        </w:rPr>
      </w:pPr>
      <w:r w:rsidRPr="00DB556E">
        <w:rPr>
          <w:rFonts w:cs="Times New Roman"/>
        </w:rPr>
        <w:t xml:space="preserve">Las erogaciones </w:t>
      </w:r>
      <w:r w:rsidR="001009C9" w:rsidRPr="00DB556E">
        <w:rPr>
          <w:rFonts w:cs="Times New Roman"/>
        </w:rPr>
        <w:t xml:space="preserve">en </w:t>
      </w:r>
      <w:r w:rsidR="00635E0B" w:rsidRPr="00DB556E">
        <w:rPr>
          <w:rFonts w:cs="Times New Roman"/>
        </w:rPr>
        <w:t>orden público y seguridad</w:t>
      </w:r>
      <w:r w:rsidR="00F20B35" w:rsidRPr="00DB556E">
        <w:rPr>
          <w:rFonts w:cs="Times New Roman"/>
        </w:rPr>
        <w:t xml:space="preserve"> </w:t>
      </w:r>
      <w:r w:rsidR="003D1BE4" w:rsidRPr="00DB556E">
        <w:rPr>
          <w:rFonts w:cs="Times New Roman"/>
        </w:rPr>
        <w:t>son de Q</w:t>
      </w:r>
      <w:r w:rsidR="003D1BE4" w:rsidRPr="00DB556E">
        <w:t>2</w:t>
      </w:r>
      <w:r w:rsidR="003D1BE4" w:rsidRPr="00DB556E">
        <w:rPr>
          <w:rFonts w:cs="Times New Roman"/>
        </w:rPr>
        <w:t>,734.4</w:t>
      </w:r>
      <w:r w:rsidR="008319CF" w:rsidRPr="00DB556E">
        <w:rPr>
          <w:rFonts w:cs="Times New Roman"/>
        </w:rPr>
        <w:t xml:space="preserve"> millones,</w:t>
      </w:r>
      <w:r w:rsidR="003D1BE4" w:rsidRPr="00DB556E">
        <w:rPr>
          <w:rFonts w:cs="Times New Roman"/>
        </w:rPr>
        <w:t xml:space="preserve"> con una variación de </w:t>
      </w:r>
      <w:r w:rsidR="00783061" w:rsidRPr="00DB556E">
        <w:rPr>
          <w:rFonts w:cs="Times New Roman"/>
        </w:rPr>
        <w:t xml:space="preserve">13.4% (Q323.6 millones), las </w:t>
      </w:r>
      <w:r w:rsidR="00B94651" w:rsidRPr="00DB556E">
        <w:rPr>
          <w:rFonts w:cs="Times New Roman"/>
        </w:rPr>
        <w:t>destinadas a defensa son de Q599.3 millones con una tasa de crecimiento de 61.4% (</w:t>
      </w:r>
      <w:r w:rsidR="000C7961" w:rsidRPr="00DB556E">
        <w:rPr>
          <w:rFonts w:cs="Times New Roman"/>
        </w:rPr>
        <w:t xml:space="preserve">Q228.0 millones) seguidas de la prestación </w:t>
      </w:r>
      <w:r w:rsidR="00745870" w:rsidRPr="00DB556E">
        <w:rPr>
          <w:rFonts w:cs="Times New Roman"/>
        </w:rPr>
        <w:t>social con</w:t>
      </w:r>
      <w:r w:rsidR="000C7961" w:rsidRPr="00DB556E">
        <w:rPr>
          <w:rFonts w:cs="Times New Roman"/>
        </w:rPr>
        <w:t xml:space="preserve"> Q</w:t>
      </w:r>
      <w:r w:rsidR="00395898" w:rsidRPr="00DB556E">
        <w:rPr>
          <w:rFonts w:cs="Times New Roman"/>
        </w:rPr>
        <w:t>2,443.0 millones que aumentaron 5.7% (Q131.0 millones)</w:t>
      </w:r>
      <w:r w:rsidR="00745870" w:rsidRPr="00DB556E">
        <w:rPr>
          <w:rFonts w:cs="Times New Roman"/>
        </w:rPr>
        <w:t>.</w:t>
      </w:r>
    </w:p>
    <w:p w14:paraId="03297C8E" w14:textId="77777777" w:rsidR="00745870" w:rsidRPr="00DB556E" w:rsidRDefault="00745870" w:rsidP="00CD34D6">
      <w:pPr>
        <w:rPr>
          <w:rFonts w:cs="Times New Roman"/>
        </w:rPr>
      </w:pPr>
    </w:p>
    <w:p w14:paraId="699C0C01" w14:textId="797ABF5D" w:rsidR="00E15558" w:rsidRPr="00DB556E" w:rsidRDefault="00745870" w:rsidP="00CD34D6">
      <w:pPr>
        <w:rPr>
          <w:rFonts w:cs="Times New Roman"/>
        </w:rPr>
      </w:pPr>
      <w:r w:rsidRPr="00DB556E">
        <w:rPr>
          <w:rFonts w:cs="Times New Roman"/>
        </w:rPr>
        <w:t xml:space="preserve">Por </w:t>
      </w:r>
      <w:r w:rsidR="00D64F85" w:rsidRPr="00DB556E">
        <w:rPr>
          <w:rFonts w:cs="Times New Roman"/>
        </w:rPr>
        <w:t>último,</w:t>
      </w:r>
      <w:r w:rsidRPr="00DB556E">
        <w:rPr>
          <w:rFonts w:cs="Times New Roman"/>
        </w:rPr>
        <w:t xml:space="preserve"> en lo que respecta a</w:t>
      </w:r>
      <w:r w:rsidR="00966F22" w:rsidRPr="00DB556E">
        <w:rPr>
          <w:rFonts w:cs="Times New Roman"/>
        </w:rPr>
        <w:t xml:space="preserve"> </w:t>
      </w:r>
      <w:r w:rsidRPr="00DB556E">
        <w:rPr>
          <w:rFonts w:cs="Times New Roman"/>
        </w:rPr>
        <w:t xml:space="preserve">la </w:t>
      </w:r>
      <w:r w:rsidR="00966F22" w:rsidRPr="00DB556E">
        <w:rPr>
          <w:rFonts w:cs="Times New Roman"/>
        </w:rPr>
        <w:t xml:space="preserve">protección del medio ambiente se erogó un total de </w:t>
      </w:r>
      <w:r w:rsidR="000A2D1D" w:rsidRPr="00DB556E">
        <w:rPr>
          <w:rFonts w:cs="Times New Roman"/>
        </w:rPr>
        <w:t>Q</w:t>
      </w:r>
      <w:r w:rsidR="00966F22" w:rsidRPr="00DB556E">
        <w:rPr>
          <w:rFonts w:cs="Times New Roman"/>
        </w:rPr>
        <w:t>146.0 millones con un crecimiento de 193.5% (Q</w:t>
      </w:r>
      <w:r w:rsidR="00FD2F00" w:rsidRPr="00DB556E">
        <w:rPr>
          <w:rFonts w:cs="Times New Roman"/>
        </w:rPr>
        <w:t xml:space="preserve">96.3 millones) y las actividades recreativas, cultura y religión se situaron en </w:t>
      </w:r>
      <w:r w:rsidR="00E811A5" w:rsidRPr="00DB556E">
        <w:rPr>
          <w:rFonts w:cs="Times New Roman"/>
        </w:rPr>
        <w:t>Q234.3 millones</w:t>
      </w:r>
      <w:r w:rsidR="00553FEF" w:rsidRPr="00DB556E">
        <w:rPr>
          <w:rFonts w:cs="Times New Roman"/>
        </w:rPr>
        <w:t>,</w:t>
      </w:r>
      <w:r w:rsidR="00E811A5" w:rsidRPr="00DB556E">
        <w:rPr>
          <w:rFonts w:cs="Times New Roman"/>
        </w:rPr>
        <w:t xml:space="preserve"> con un aumento interanual de 14.3% (Q29.2 millones).</w:t>
      </w:r>
    </w:p>
    <w:p w14:paraId="228579F4" w14:textId="77777777" w:rsidR="00DA2A6D" w:rsidRPr="00DB556E" w:rsidRDefault="00DA2A6D" w:rsidP="00CD34D6">
      <w:pPr>
        <w:rPr>
          <w:rFonts w:cs="Times New Roman"/>
        </w:rPr>
      </w:pPr>
    </w:p>
    <w:p w14:paraId="75A44C38" w14:textId="77777777" w:rsidR="00513B56" w:rsidRPr="00DB556E" w:rsidRDefault="00745870" w:rsidP="00C56688">
      <w:pPr>
        <w:pStyle w:val="Ttulo2"/>
        <w:numPr>
          <w:ilvl w:val="1"/>
          <w:numId w:val="12"/>
        </w:numPr>
        <w:tabs>
          <w:tab w:val="left" w:pos="426"/>
        </w:tabs>
        <w:spacing w:before="0"/>
        <w:rPr>
          <w:rFonts w:ascii="Times New Roman" w:hAnsi="Times New Roman" w:cs="Times New Roman"/>
          <w:color w:val="auto"/>
          <w:sz w:val="24"/>
        </w:rPr>
      </w:pPr>
      <w:bookmarkStart w:id="833" w:name="_Toc102477809"/>
      <w:r w:rsidRPr="00DB556E">
        <w:rPr>
          <w:rFonts w:cs="Times New Roman"/>
          <w:noProof/>
          <w:sz w:val="18"/>
          <w:szCs w:val="18"/>
          <w:lang w:eastAsia="es-GT"/>
        </w:rPr>
        <w:drawing>
          <wp:anchor distT="0" distB="0" distL="114300" distR="114300" simplePos="0" relativeHeight="251663364" behindDoc="0" locked="0" layoutInCell="1" allowOverlap="1" wp14:anchorId="7F7875A4" wp14:editId="1841A887">
            <wp:simplePos x="0" y="0"/>
            <wp:positionH relativeFrom="column">
              <wp:posOffset>3033395</wp:posOffset>
            </wp:positionH>
            <wp:positionV relativeFrom="paragraph">
              <wp:posOffset>238760</wp:posOffset>
            </wp:positionV>
            <wp:extent cx="3094990" cy="4848225"/>
            <wp:effectExtent l="0" t="0" r="0" b="9525"/>
            <wp:wrapSquare wrapText="bothSides"/>
            <wp:docPr id="3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513B56" w:rsidRPr="00DB556E">
        <w:rPr>
          <w:rFonts w:ascii="Times New Roman" w:hAnsi="Times New Roman" w:cs="Times New Roman"/>
          <w:color w:val="auto"/>
          <w:sz w:val="24"/>
        </w:rPr>
        <w:t>Grado de Ejecución</w:t>
      </w:r>
      <w:r w:rsidR="0040274D" w:rsidRPr="00DB556E">
        <w:rPr>
          <w:rFonts w:ascii="Times New Roman" w:hAnsi="Times New Roman" w:cs="Times New Roman"/>
          <w:color w:val="auto"/>
          <w:sz w:val="24"/>
        </w:rPr>
        <w:t xml:space="preserve"> Presupuestaria</w:t>
      </w:r>
      <w:bookmarkEnd w:id="833"/>
    </w:p>
    <w:p w14:paraId="3B0D0498" w14:textId="77777777" w:rsidR="00516882" w:rsidRPr="00DB556E" w:rsidRDefault="00516882" w:rsidP="00516882">
      <w:pPr>
        <w:pStyle w:val="Sinespaciado"/>
        <w:jc w:val="both"/>
        <w:rPr>
          <w:rFonts w:ascii="Times New Roman" w:hAnsi="Times New Roman" w:cs="Times New Roman"/>
          <w:lang w:val="es-MX"/>
        </w:rPr>
      </w:pPr>
      <w:r w:rsidRPr="00DB556E">
        <w:rPr>
          <w:rFonts w:ascii="Times New Roman" w:hAnsi="Times New Roman" w:cs="Times New Roman"/>
          <w:lang w:val="es-MX"/>
        </w:rPr>
        <w:t>A nivel del gasto público por entidades, las que muestran el mayor nivel de ejecución son: Energía y Minas (63.9%), Defensa (24.1%), PGN (23.6%), Presidencia (22.1%), Educación (22.1%), Comunicaciones (21.2%), Trabajo (20.2%) y Obligaciones (20.2%) todas estas entidades se encuentran por arriba de la ejecución institucional total (20.1%).</w:t>
      </w:r>
    </w:p>
    <w:p w14:paraId="7D76059E" w14:textId="77777777" w:rsidR="00516882" w:rsidRPr="00DB556E" w:rsidRDefault="00516882" w:rsidP="00516882">
      <w:pPr>
        <w:pStyle w:val="Sinespaciado"/>
        <w:jc w:val="both"/>
        <w:rPr>
          <w:rFonts w:ascii="Times New Roman" w:hAnsi="Times New Roman" w:cs="Times New Roman"/>
          <w:lang w:val="es-MX"/>
        </w:rPr>
      </w:pPr>
    </w:p>
    <w:p w14:paraId="33C28CC3" w14:textId="77777777" w:rsidR="00516882" w:rsidRPr="00DB556E" w:rsidRDefault="00516882" w:rsidP="00516882">
      <w:pPr>
        <w:pStyle w:val="Sinespaciado"/>
        <w:jc w:val="both"/>
        <w:rPr>
          <w:rFonts w:ascii="Times New Roman" w:hAnsi="Times New Roman" w:cs="Times New Roman"/>
          <w:lang w:val="es-MX"/>
        </w:rPr>
      </w:pPr>
      <w:r w:rsidRPr="00DB556E">
        <w:rPr>
          <w:rFonts w:ascii="Times New Roman" w:hAnsi="Times New Roman" w:cs="Times New Roman"/>
          <w:lang w:val="es-MX"/>
        </w:rPr>
        <w:t xml:space="preserve">Resalta el caso del Ministerio de Energía y Minas por el alto grado de ejecución mostrado, el cual responde al subsidio a las empresas que distribuyen gas propano. En los próximos meses, la ejecución de este ministerio continuará alta derivado que esta entidad reportará una ampliación por Q895.0 millones, Q150 millones correspondientes al subsidio al gas propano y Q745 millones correspondientes al subsidio a la gasolina regular y diésel. </w:t>
      </w:r>
    </w:p>
    <w:p w14:paraId="499EF32D" w14:textId="77777777" w:rsidR="00516882" w:rsidRPr="00DB556E" w:rsidRDefault="00516882" w:rsidP="00516882">
      <w:pPr>
        <w:pStyle w:val="Sinespaciado"/>
        <w:jc w:val="both"/>
        <w:rPr>
          <w:rFonts w:ascii="Times New Roman" w:hAnsi="Times New Roman" w:cs="Times New Roman"/>
          <w:lang w:val="es-MX"/>
        </w:rPr>
      </w:pPr>
    </w:p>
    <w:p w14:paraId="71E3D31F" w14:textId="77777777" w:rsidR="00516882" w:rsidRPr="00DB556E" w:rsidRDefault="00516882" w:rsidP="00516882">
      <w:pPr>
        <w:pStyle w:val="Sinespaciado"/>
        <w:jc w:val="both"/>
        <w:rPr>
          <w:rFonts w:ascii="Times New Roman" w:hAnsi="Times New Roman" w:cs="Times New Roman"/>
          <w:lang w:val="es-MX"/>
        </w:rPr>
      </w:pPr>
      <w:r w:rsidRPr="00DB556E">
        <w:rPr>
          <w:rFonts w:ascii="Times New Roman" w:hAnsi="Times New Roman" w:cs="Times New Roman"/>
          <w:lang w:val="es-MX"/>
        </w:rPr>
        <w:t>Hasta la fecha los sistemas de gobierno aún no capturan estas ampliaciones, debido a que está pendiente la distribución analítica de las ampliaciones, que se emitirá mediante Acuerdo Gubernativo.</w:t>
      </w:r>
    </w:p>
    <w:p w14:paraId="4C273AEE" w14:textId="77777777" w:rsidR="00E21F39" w:rsidRPr="00DB556E" w:rsidRDefault="00E21F39" w:rsidP="00516882">
      <w:pPr>
        <w:pStyle w:val="Sinespaciado"/>
        <w:jc w:val="both"/>
        <w:rPr>
          <w:rFonts w:ascii="Times New Roman" w:hAnsi="Times New Roman" w:cs="Times New Roman"/>
          <w:lang w:val="es-MX"/>
        </w:rPr>
      </w:pPr>
    </w:p>
    <w:p w14:paraId="180CA13E" w14:textId="77777777" w:rsidR="0023542F" w:rsidRPr="00DB556E" w:rsidRDefault="00516882" w:rsidP="00516882">
      <w:pPr>
        <w:pStyle w:val="Sinespaciado"/>
        <w:jc w:val="both"/>
        <w:rPr>
          <w:rFonts w:ascii="Times New Roman" w:hAnsi="Times New Roman" w:cs="Times New Roman"/>
          <w:lang w:val="es-MX"/>
        </w:rPr>
      </w:pPr>
      <w:r w:rsidRPr="00DB556E">
        <w:rPr>
          <w:rFonts w:ascii="Times New Roman" w:hAnsi="Times New Roman" w:cs="Times New Roman"/>
          <w:lang w:val="es-MX"/>
        </w:rPr>
        <w:t xml:space="preserve">Por su parte, el resto de las entidades se encuentran por debajo de la ejecución total, el caso más destacado es el de Desarrollo Social (12.1%) y Ambiente y Recursos Naturales (12.1%).  </w:t>
      </w:r>
    </w:p>
    <w:p w14:paraId="379286C4" w14:textId="77777777" w:rsidR="00745870" w:rsidRPr="00DB556E" w:rsidRDefault="00745870" w:rsidP="00516882">
      <w:pPr>
        <w:pStyle w:val="Sinespaciado"/>
        <w:jc w:val="both"/>
        <w:rPr>
          <w:rFonts w:ascii="Times New Roman" w:hAnsi="Times New Roman" w:cs="Times New Roman"/>
          <w:lang w:val="es-MX"/>
        </w:rPr>
      </w:pPr>
    </w:p>
    <w:p w14:paraId="0B48CC5F" w14:textId="77777777" w:rsidR="00745870" w:rsidRPr="00DB556E" w:rsidRDefault="00745870" w:rsidP="00516882">
      <w:pPr>
        <w:pStyle w:val="Sinespaciado"/>
        <w:jc w:val="both"/>
        <w:rPr>
          <w:rFonts w:ascii="Times New Roman" w:hAnsi="Times New Roman" w:cs="Times New Roman"/>
          <w:lang w:val="es-MX"/>
        </w:rPr>
      </w:pPr>
    </w:p>
    <w:p w14:paraId="02D510B6" w14:textId="77777777" w:rsidR="00745870" w:rsidRPr="00DB556E" w:rsidRDefault="00745870" w:rsidP="00516882">
      <w:pPr>
        <w:pStyle w:val="Sinespaciado"/>
        <w:jc w:val="both"/>
        <w:rPr>
          <w:rFonts w:ascii="Times New Roman" w:hAnsi="Times New Roman" w:cs="Times New Roman"/>
          <w:lang w:val="es-MX"/>
        </w:rPr>
      </w:pPr>
    </w:p>
    <w:p w14:paraId="42EED26F" w14:textId="77777777" w:rsidR="00745870" w:rsidRPr="00DB556E" w:rsidRDefault="00745870" w:rsidP="00516882">
      <w:pPr>
        <w:pStyle w:val="Sinespaciado"/>
        <w:jc w:val="both"/>
        <w:rPr>
          <w:rFonts w:ascii="Times New Roman" w:hAnsi="Times New Roman" w:cs="Times New Roman"/>
          <w:lang w:val="es-MX"/>
        </w:rPr>
      </w:pPr>
    </w:p>
    <w:p w14:paraId="5F0BCEA2" w14:textId="77777777" w:rsidR="00745870" w:rsidRPr="00DB556E" w:rsidRDefault="00745870" w:rsidP="00516882">
      <w:pPr>
        <w:pStyle w:val="Sinespaciado"/>
        <w:jc w:val="both"/>
        <w:rPr>
          <w:rFonts w:ascii="Times New Roman" w:hAnsi="Times New Roman" w:cs="Times New Roman"/>
          <w:lang w:val="es-MX"/>
        </w:rPr>
      </w:pPr>
    </w:p>
    <w:p w14:paraId="6302F351" w14:textId="77777777" w:rsidR="00745870" w:rsidRPr="00DB556E" w:rsidRDefault="00745870" w:rsidP="00516882">
      <w:pPr>
        <w:pStyle w:val="Sinespaciado"/>
        <w:jc w:val="both"/>
        <w:rPr>
          <w:rFonts w:ascii="Times New Roman" w:hAnsi="Times New Roman" w:cs="Times New Roman"/>
          <w:lang w:val="es-MX"/>
        </w:rPr>
      </w:pPr>
    </w:p>
    <w:p w14:paraId="033D5BCC" w14:textId="77777777" w:rsidR="008F1CB5" w:rsidRPr="00DB556E" w:rsidRDefault="008F1CB5" w:rsidP="003158EF">
      <w:pPr>
        <w:pStyle w:val="Sinespaciado"/>
        <w:jc w:val="both"/>
        <w:rPr>
          <w:rFonts w:ascii="Times New Roman" w:hAnsi="Times New Roman" w:cs="Times New Roman"/>
          <w:lang w:val="es-MX"/>
        </w:rPr>
      </w:pPr>
    </w:p>
    <w:p w14:paraId="63F74DC4" w14:textId="77777777" w:rsidR="00380981" w:rsidRPr="00DB556E" w:rsidRDefault="00C84436" w:rsidP="00C17472">
      <w:pPr>
        <w:pStyle w:val="Prrafodelista"/>
        <w:numPr>
          <w:ilvl w:val="0"/>
          <w:numId w:val="1"/>
        </w:numPr>
        <w:ind w:left="426" w:hanging="426"/>
        <w:outlineLvl w:val="0"/>
        <w:rPr>
          <w:rFonts w:cs="Times New Roman"/>
          <w:b/>
          <w:sz w:val="24"/>
          <w:lang w:val="es-MX"/>
        </w:rPr>
      </w:pPr>
      <w:bookmarkStart w:id="834" w:name="_Toc102477810"/>
      <w:r w:rsidRPr="00DB556E">
        <w:rPr>
          <w:rFonts w:cs="Times New Roman"/>
          <w:b/>
          <w:sz w:val="24"/>
          <w:lang w:val="es-MX"/>
        </w:rPr>
        <w:t>Resultado Fiscal</w:t>
      </w:r>
      <w:bookmarkEnd w:id="834"/>
      <w:r w:rsidRPr="00DB556E">
        <w:rPr>
          <w:rFonts w:cs="Times New Roman"/>
          <w:b/>
          <w:sz w:val="24"/>
          <w:lang w:val="es-MX"/>
        </w:rPr>
        <w:t xml:space="preserve"> </w:t>
      </w:r>
    </w:p>
    <w:p w14:paraId="216F3BF0" w14:textId="77777777" w:rsidR="00C84436" w:rsidRPr="00DB556E" w:rsidRDefault="005F5E9E" w:rsidP="00D319A6">
      <w:pPr>
        <w:rPr>
          <w:rFonts w:eastAsiaTheme="majorEastAsia" w:cs="Times New Roman"/>
          <w:b/>
          <w:bCs/>
          <w:sz w:val="24"/>
          <w:szCs w:val="26"/>
        </w:rPr>
      </w:pPr>
      <w:bookmarkStart w:id="835" w:name="_Toc42023982"/>
      <w:bookmarkStart w:id="836" w:name="_Toc42024033"/>
      <w:bookmarkEnd w:id="835"/>
      <w:bookmarkEnd w:id="836"/>
      <w:r w:rsidRPr="00DB556E">
        <w:rPr>
          <w:rFonts w:eastAsiaTheme="majorEastAsia"/>
          <w:noProof/>
          <w:lang w:eastAsia="es-GT"/>
        </w:rPr>
        <w:drawing>
          <wp:inline distT="0" distB="0" distL="0" distR="0" wp14:anchorId="53C2D341" wp14:editId="4CCD8E17">
            <wp:extent cx="5836920" cy="1854200"/>
            <wp:effectExtent l="76200" t="57150" r="87630" b="10795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bookmarkStart w:id="837" w:name="_Toc31624513"/>
      <w:bookmarkStart w:id="838" w:name="_Toc31625365"/>
      <w:bookmarkStart w:id="839" w:name="_Toc31626820"/>
      <w:bookmarkStart w:id="840" w:name="_Toc31811271"/>
      <w:bookmarkStart w:id="841" w:name="_Toc31811725"/>
      <w:bookmarkStart w:id="842" w:name="_Toc31971888"/>
      <w:bookmarkStart w:id="843" w:name="_Toc32230910"/>
      <w:bookmarkStart w:id="844" w:name="_Toc33109798"/>
      <w:bookmarkStart w:id="845" w:name="_Toc33109840"/>
      <w:bookmarkStart w:id="846" w:name="_Toc33180561"/>
      <w:bookmarkStart w:id="847" w:name="_Toc33180655"/>
      <w:bookmarkStart w:id="848" w:name="_Toc33193552"/>
      <w:bookmarkStart w:id="849" w:name="_Toc33193591"/>
      <w:bookmarkStart w:id="850" w:name="_Toc33196788"/>
      <w:bookmarkStart w:id="851" w:name="_Toc40691764"/>
      <w:bookmarkStart w:id="852" w:name="_Toc40959164"/>
      <w:bookmarkStart w:id="853" w:name="_Toc40975998"/>
      <w:bookmarkStart w:id="854" w:name="_Toc40976067"/>
      <w:bookmarkStart w:id="855" w:name="_Toc40993323"/>
      <w:bookmarkStart w:id="856" w:name="_Toc40993705"/>
      <w:bookmarkStart w:id="857" w:name="_Toc41037581"/>
      <w:bookmarkStart w:id="858" w:name="_Toc41254141"/>
      <w:bookmarkStart w:id="859" w:name="_Toc41254173"/>
      <w:bookmarkStart w:id="860" w:name="_Toc41254193"/>
      <w:bookmarkStart w:id="861" w:name="_Toc42023983"/>
      <w:bookmarkStart w:id="862" w:name="_Toc42024034"/>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14:paraId="435B279A" w14:textId="77777777" w:rsidR="00182B79" w:rsidRPr="00DB556E" w:rsidRDefault="00182B79" w:rsidP="00182B79">
      <w:pPr>
        <w:pStyle w:val="Prrafodelista"/>
        <w:keepNext/>
        <w:keepLines/>
        <w:numPr>
          <w:ilvl w:val="0"/>
          <w:numId w:val="43"/>
        </w:numPr>
        <w:spacing w:after="120"/>
        <w:contextualSpacing w:val="0"/>
        <w:outlineLvl w:val="1"/>
        <w:rPr>
          <w:rFonts w:eastAsiaTheme="majorEastAsia" w:cs="Times New Roman"/>
          <w:b/>
          <w:bCs/>
          <w:vanish/>
          <w:sz w:val="24"/>
          <w:szCs w:val="26"/>
          <w:lang w:eastAsia="es-ES"/>
        </w:rPr>
      </w:pPr>
      <w:bookmarkStart w:id="863" w:name="_Toc42069123"/>
      <w:bookmarkStart w:id="864" w:name="_Toc49422069"/>
      <w:bookmarkStart w:id="865" w:name="_Toc49422095"/>
      <w:bookmarkStart w:id="866" w:name="_Toc49430674"/>
      <w:bookmarkStart w:id="867" w:name="_Toc49430700"/>
      <w:bookmarkStart w:id="868" w:name="_Toc49750477"/>
      <w:bookmarkStart w:id="869" w:name="_Toc49750727"/>
      <w:bookmarkStart w:id="870" w:name="_Toc49750755"/>
      <w:bookmarkStart w:id="871" w:name="_Toc55284841"/>
      <w:bookmarkStart w:id="872" w:name="_Toc55298859"/>
      <w:bookmarkStart w:id="873" w:name="_Toc55373842"/>
      <w:bookmarkStart w:id="874" w:name="_Toc55374018"/>
      <w:bookmarkStart w:id="875" w:name="_Toc55375155"/>
      <w:bookmarkStart w:id="876" w:name="_Toc55396563"/>
      <w:bookmarkStart w:id="877" w:name="_Toc65230560"/>
      <w:bookmarkStart w:id="878" w:name="_Toc65230798"/>
      <w:bookmarkStart w:id="879" w:name="_Toc65232082"/>
      <w:bookmarkStart w:id="880" w:name="_Toc65232327"/>
      <w:bookmarkStart w:id="881" w:name="_Toc66716186"/>
      <w:bookmarkStart w:id="882" w:name="_Toc71097230"/>
      <w:bookmarkStart w:id="883" w:name="_Toc71097261"/>
      <w:bookmarkStart w:id="884" w:name="_Toc71097336"/>
      <w:bookmarkStart w:id="885" w:name="_Toc71108076"/>
      <w:bookmarkStart w:id="886" w:name="_Toc79055270"/>
      <w:bookmarkStart w:id="887" w:name="_Toc79055301"/>
      <w:bookmarkStart w:id="888" w:name="_Toc79060192"/>
      <w:bookmarkStart w:id="889" w:name="_Toc79060479"/>
      <w:bookmarkStart w:id="890" w:name="_Toc81307836"/>
      <w:bookmarkStart w:id="891" w:name="_Toc83376497"/>
      <w:bookmarkStart w:id="892" w:name="_Toc86386736"/>
      <w:bookmarkStart w:id="893" w:name="_Toc86405422"/>
      <w:bookmarkStart w:id="894" w:name="_Toc98162452"/>
      <w:bookmarkStart w:id="895" w:name="_Toc98162484"/>
      <w:bookmarkStart w:id="896" w:name="_Toc98235010"/>
      <w:bookmarkStart w:id="897" w:name="_Toc98235205"/>
      <w:bookmarkStart w:id="898" w:name="_Toc98235290"/>
      <w:bookmarkStart w:id="899" w:name="_Toc98757160"/>
      <w:bookmarkStart w:id="900" w:name="_Toc101874715"/>
      <w:bookmarkStart w:id="901" w:name="_Toc101954171"/>
      <w:bookmarkStart w:id="902" w:name="_Toc101971988"/>
      <w:bookmarkStart w:id="903" w:name="_Toc101974080"/>
      <w:bookmarkStart w:id="904" w:name="_Toc102039765"/>
      <w:bookmarkStart w:id="905" w:name="_Toc102039803"/>
      <w:bookmarkStart w:id="906" w:name="_Toc102039843"/>
      <w:bookmarkStart w:id="907" w:name="_Toc102039874"/>
      <w:bookmarkStart w:id="908" w:name="_Toc102040932"/>
      <w:bookmarkStart w:id="909" w:name="_Toc102477780"/>
      <w:bookmarkStart w:id="910" w:name="_Toc102477811"/>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1B0B0861" w14:textId="77777777" w:rsidR="00364844" w:rsidRPr="00DB556E" w:rsidRDefault="00BD6585"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911" w:name="_Toc102477812"/>
      <w:r w:rsidRPr="00DB556E">
        <w:rPr>
          <w:rFonts w:ascii="Times New Roman" w:hAnsi="Times New Roman" w:cs="Times New Roman"/>
          <w:color w:val="auto"/>
          <w:sz w:val="24"/>
        </w:rPr>
        <w:t>R</w:t>
      </w:r>
      <w:r w:rsidR="00540B30" w:rsidRPr="00DB556E">
        <w:rPr>
          <w:rFonts w:ascii="Times New Roman" w:hAnsi="Times New Roman" w:cs="Times New Roman"/>
          <w:color w:val="auto"/>
          <w:sz w:val="24"/>
        </w:rPr>
        <w:t xml:space="preserve">esultado </w:t>
      </w:r>
      <w:r w:rsidR="003C3E6F" w:rsidRPr="00DB556E">
        <w:rPr>
          <w:rFonts w:ascii="Times New Roman" w:hAnsi="Times New Roman" w:cs="Times New Roman"/>
          <w:color w:val="auto"/>
          <w:sz w:val="24"/>
        </w:rPr>
        <w:t>O</w:t>
      </w:r>
      <w:r w:rsidR="00540B30" w:rsidRPr="00DB556E">
        <w:rPr>
          <w:rFonts w:ascii="Times New Roman" w:hAnsi="Times New Roman" w:cs="Times New Roman"/>
          <w:color w:val="auto"/>
          <w:sz w:val="24"/>
        </w:rPr>
        <w:t>perativo</w:t>
      </w:r>
      <w:r w:rsidR="00EE52DF" w:rsidRPr="00DB556E">
        <w:rPr>
          <w:rFonts w:ascii="Times New Roman" w:hAnsi="Times New Roman" w:cs="Times New Roman"/>
          <w:color w:val="auto"/>
          <w:sz w:val="24"/>
        </w:rPr>
        <w:t xml:space="preserve"> </w:t>
      </w:r>
      <w:bookmarkEnd w:id="475"/>
      <w:r w:rsidR="0099162B" w:rsidRPr="00DB556E">
        <w:rPr>
          <w:rFonts w:ascii="Times New Roman" w:hAnsi="Times New Roman" w:cs="Times New Roman"/>
          <w:color w:val="auto"/>
          <w:sz w:val="24"/>
        </w:rPr>
        <w:t>es positivo</w:t>
      </w:r>
      <w:bookmarkEnd w:id="911"/>
    </w:p>
    <w:p w14:paraId="114D2504" w14:textId="074D09ED" w:rsidR="004B5293" w:rsidRPr="00DB556E" w:rsidRDefault="00D64F85" w:rsidP="0045490A">
      <w:pPr>
        <w:pStyle w:val="Sinespaciado"/>
        <w:jc w:val="both"/>
        <w:rPr>
          <w:rFonts w:ascii="Times New Roman" w:hAnsi="Times New Roman" w:cs="Times New Roman"/>
        </w:rPr>
      </w:pPr>
      <w:r w:rsidRPr="00DB556E">
        <w:rPr>
          <w:rFonts w:ascii="Times New Roman" w:hAnsi="Times New Roman" w:cs="Times New Roman"/>
        </w:rPr>
        <w:t>Al finalizar el primer trimestre del 2022,</w:t>
      </w:r>
      <w:r w:rsidR="0099162B" w:rsidRPr="00DB556E">
        <w:rPr>
          <w:rFonts w:ascii="Times New Roman" w:hAnsi="Times New Roman" w:cs="Times New Roman"/>
        </w:rPr>
        <w:t xml:space="preserve"> el resultado operativo es positivo </w:t>
      </w:r>
      <w:r w:rsidR="007A0181" w:rsidRPr="00DB556E">
        <w:rPr>
          <w:rFonts w:ascii="Times New Roman" w:hAnsi="Times New Roman" w:cs="Times New Roman"/>
        </w:rPr>
        <w:t>en Q1,974.9 millones</w:t>
      </w:r>
      <w:r w:rsidR="00D25871" w:rsidRPr="00DB556E">
        <w:rPr>
          <w:rFonts w:ascii="Times New Roman" w:hAnsi="Times New Roman" w:cs="Times New Roman"/>
        </w:rPr>
        <w:t xml:space="preserve"> </w:t>
      </w:r>
      <w:r w:rsidR="00976100" w:rsidRPr="00DB556E">
        <w:rPr>
          <w:rFonts w:ascii="Times New Roman" w:hAnsi="Times New Roman" w:cs="Times New Roman"/>
        </w:rPr>
        <w:t>y el resultado operativo primario (sin considerar el pago de intereses) es de Q</w:t>
      </w:r>
      <w:r w:rsidR="002E0A4A" w:rsidRPr="00DB556E">
        <w:rPr>
          <w:rFonts w:ascii="Times New Roman" w:hAnsi="Times New Roman" w:cs="Times New Roman"/>
        </w:rPr>
        <w:t>4,029.9 millones</w:t>
      </w:r>
      <w:r w:rsidR="005A2B12" w:rsidRPr="00DB556E">
        <w:rPr>
          <w:rFonts w:ascii="Times New Roman" w:hAnsi="Times New Roman" w:cs="Times New Roman"/>
        </w:rPr>
        <w:t>.</w:t>
      </w:r>
      <w:r w:rsidR="002E0A4A" w:rsidRPr="00DB556E">
        <w:rPr>
          <w:rFonts w:ascii="Times New Roman" w:hAnsi="Times New Roman" w:cs="Times New Roman"/>
        </w:rPr>
        <w:t xml:space="preserve"> Este resultado se </w:t>
      </w:r>
      <w:r w:rsidR="00416DC0" w:rsidRPr="00DB556E">
        <w:rPr>
          <w:rFonts w:ascii="Times New Roman" w:hAnsi="Times New Roman" w:cs="Times New Roman"/>
        </w:rPr>
        <w:t xml:space="preserve">explica por </w:t>
      </w:r>
      <w:r w:rsidR="008F48A6" w:rsidRPr="00DB556E">
        <w:rPr>
          <w:rFonts w:ascii="Times New Roman" w:hAnsi="Times New Roman" w:cs="Times New Roman"/>
        </w:rPr>
        <w:t>una parte en los ingresos</w:t>
      </w:r>
      <w:r w:rsidR="00333A07" w:rsidRPr="00DB556E">
        <w:rPr>
          <w:rFonts w:ascii="Times New Roman" w:hAnsi="Times New Roman" w:cs="Times New Roman"/>
        </w:rPr>
        <w:t xml:space="preserve"> derivado al</w:t>
      </w:r>
      <w:r w:rsidR="008F48A6" w:rsidRPr="00DB556E">
        <w:rPr>
          <w:rFonts w:ascii="Times New Roman" w:hAnsi="Times New Roman" w:cs="Times New Roman"/>
        </w:rPr>
        <w:t xml:space="preserve"> buen</w:t>
      </w:r>
      <w:r w:rsidR="00333A07" w:rsidRPr="00DB556E">
        <w:rPr>
          <w:rFonts w:ascii="Times New Roman" w:hAnsi="Times New Roman" w:cs="Times New Roman"/>
        </w:rPr>
        <w:t xml:space="preserve"> desempeño que han m</w:t>
      </w:r>
      <w:r w:rsidR="000A2D1D" w:rsidRPr="00DB556E">
        <w:rPr>
          <w:rFonts w:ascii="Times New Roman" w:hAnsi="Times New Roman" w:cs="Times New Roman"/>
        </w:rPr>
        <w:t>a</w:t>
      </w:r>
      <w:r w:rsidR="00333A07" w:rsidRPr="00DB556E">
        <w:rPr>
          <w:rFonts w:ascii="Times New Roman" w:hAnsi="Times New Roman" w:cs="Times New Roman"/>
        </w:rPr>
        <w:t>nt</w:t>
      </w:r>
      <w:r w:rsidR="000A2D1D" w:rsidRPr="00DB556E">
        <w:rPr>
          <w:rFonts w:ascii="Times New Roman" w:hAnsi="Times New Roman" w:cs="Times New Roman"/>
        </w:rPr>
        <w:t>en</w:t>
      </w:r>
      <w:r w:rsidR="00333A07" w:rsidRPr="00DB556E">
        <w:rPr>
          <w:rFonts w:ascii="Times New Roman" w:hAnsi="Times New Roman" w:cs="Times New Roman"/>
        </w:rPr>
        <w:t>ido los impuestos</w:t>
      </w:r>
      <w:r w:rsidR="00436764" w:rsidRPr="00DB556E">
        <w:rPr>
          <w:rFonts w:ascii="Times New Roman" w:hAnsi="Times New Roman" w:cs="Times New Roman"/>
        </w:rPr>
        <w:t xml:space="preserve"> </w:t>
      </w:r>
      <w:r w:rsidR="000A2D1D" w:rsidRPr="00DB556E">
        <w:rPr>
          <w:rFonts w:ascii="Times New Roman" w:hAnsi="Times New Roman" w:cs="Times New Roman"/>
        </w:rPr>
        <w:t>como consecuencia</w:t>
      </w:r>
      <w:r w:rsidR="00932DAC" w:rsidRPr="00DB556E">
        <w:rPr>
          <w:rFonts w:ascii="Times New Roman" w:hAnsi="Times New Roman" w:cs="Times New Roman"/>
        </w:rPr>
        <w:t xml:space="preserve"> </w:t>
      </w:r>
      <w:r w:rsidR="00465F3B" w:rsidRPr="00DB556E">
        <w:rPr>
          <w:rFonts w:ascii="Times New Roman" w:hAnsi="Times New Roman" w:cs="Times New Roman"/>
        </w:rPr>
        <w:t>del comportamiento en los precios internacionales del petróleo, las perturbaciones en la cadena de suministros, la volatilidad que ha generado la guerra entre Rusia y Ucrania con sus secuelas en el comercio y economía internacional</w:t>
      </w:r>
      <w:r w:rsidR="00B80D0E" w:rsidRPr="00DB556E">
        <w:rPr>
          <w:rFonts w:ascii="Times New Roman" w:hAnsi="Times New Roman" w:cs="Times New Roman"/>
        </w:rPr>
        <w:t>,</w:t>
      </w:r>
      <w:r w:rsidR="00465F3B" w:rsidRPr="00DB556E">
        <w:rPr>
          <w:rFonts w:ascii="Times New Roman" w:hAnsi="Times New Roman" w:cs="Times New Roman"/>
        </w:rPr>
        <w:t xml:space="preserve"> </w:t>
      </w:r>
      <w:r w:rsidR="00724227" w:rsidRPr="00DB556E">
        <w:rPr>
          <w:rFonts w:ascii="Times New Roman" w:hAnsi="Times New Roman" w:cs="Times New Roman"/>
        </w:rPr>
        <w:t>además de</w:t>
      </w:r>
      <w:r w:rsidR="00465F3B" w:rsidRPr="00DB556E">
        <w:rPr>
          <w:rFonts w:ascii="Times New Roman" w:hAnsi="Times New Roman" w:cs="Times New Roman"/>
        </w:rPr>
        <w:t xml:space="preserve"> las medidas administrativas adoptadas por la SAT</w:t>
      </w:r>
      <w:r w:rsidR="00417996" w:rsidRPr="00DB556E">
        <w:rPr>
          <w:rFonts w:ascii="Times New Roman" w:hAnsi="Times New Roman" w:cs="Times New Roman"/>
        </w:rPr>
        <w:t xml:space="preserve"> mientras que</w:t>
      </w:r>
      <w:r w:rsidR="00DA13A7" w:rsidRPr="00DB556E">
        <w:rPr>
          <w:rFonts w:ascii="Times New Roman" w:hAnsi="Times New Roman" w:cs="Times New Roman"/>
        </w:rPr>
        <w:t xml:space="preserve">, por </w:t>
      </w:r>
      <w:r w:rsidR="000655A9" w:rsidRPr="00DB556E">
        <w:rPr>
          <w:rFonts w:ascii="Times New Roman" w:hAnsi="Times New Roman" w:cs="Times New Roman"/>
        </w:rPr>
        <w:t>su parte</w:t>
      </w:r>
      <w:r w:rsidR="00F17897" w:rsidRPr="00DB556E">
        <w:rPr>
          <w:rFonts w:ascii="Times New Roman" w:hAnsi="Times New Roman" w:cs="Times New Roman"/>
        </w:rPr>
        <w:t>,</w:t>
      </w:r>
      <w:r w:rsidR="00DA13A7" w:rsidRPr="00DB556E">
        <w:rPr>
          <w:rFonts w:ascii="Times New Roman" w:hAnsi="Times New Roman" w:cs="Times New Roman"/>
        </w:rPr>
        <w:t xml:space="preserve"> </w:t>
      </w:r>
      <w:r w:rsidR="00F17897" w:rsidRPr="00DB556E">
        <w:rPr>
          <w:rFonts w:ascii="Times New Roman" w:hAnsi="Times New Roman" w:cs="Times New Roman"/>
        </w:rPr>
        <w:t>la ejecución de</w:t>
      </w:r>
      <w:r w:rsidR="00082333" w:rsidRPr="00DB556E">
        <w:rPr>
          <w:rFonts w:ascii="Times New Roman" w:hAnsi="Times New Roman" w:cs="Times New Roman"/>
        </w:rPr>
        <w:t xml:space="preserve">l </w:t>
      </w:r>
      <w:r w:rsidR="00F17897" w:rsidRPr="00DB556E">
        <w:rPr>
          <w:rFonts w:ascii="Times New Roman" w:hAnsi="Times New Roman" w:cs="Times New Roman"/>
        </w:rPr>
        <w:t>g</w:t>
      </w:r>
      <w:r w:rsidR="00417996" w:rsidRPr="00DB556E">
        <w:rPr>
          <w:rFonts w:ascii="Times New Roman" w:hAnsi="Times New Roman" w:cs="Times New Roman"/>
        </w:rPr>
        <w:t xml:space="preserve">asto </w:t>
      </w:r>
      <w:r w:rsidR="000655A9" w:rsidRPr="00DB556E">
        <w:rPr>
          <w:rFonts w:ascii="Times New Roman" w:hAnsi="Times New Roman" w:cs="Times New Roman"/>
        </w:rPr>
        <w:t>ha sido mucho m</w:t>
      </w:r>
      <w:r w:rsidR="00F17897" w:rsidRPr="00DB556E">
        <w:rPr>
          <w:rFonts w:ascii="Times New Roman" w:hAnsi="Times New Roman" w:cs="Times New Roman"/>
        </w:rPr>
        <w:t>á</w:t>
      </w:r>
      <w:r w:rsidR="000655A9" w:rsidRPr="00DB556E">
        <w:rPr>
          <w:rFonts w:ascii="Times New Roman" w:hAnsi="Times New Roman" w:cs="Times New Roman"/>
        </w:rPr>
        <w:t xml:space="preserve">s </w:t>
      </w:r>
      <w:r w:rsidR="001F3125" w:rsidRPr="00DB556E">
        <w:rPr>
          <w:rFonts w:ascii="Times New Roman" w:hAnsi="Times New Roman" w:cs="Times New Roman"/>
        </w:rPr>
        <w:t>acelerad</w:t>
      </w:r>
      <w:r w:rsidR="00F17897" w:rsidRPr="00DB556E">
        <w:rPr>
          <w:rFonts w:ascii="Times New Roman" w:hAnsi="Times New Roman" w:cs="Times New Roman"/>
        </w:rPr>
        <w:t>a</w:t>
      </w:r>
      <w:r w:rsidR="001F3125" w:rsidRPr="00DB556E">
        <w:rPr>
          <w:rFonts w:ascii="Times New Roman" w:hAnsi="Times New Roman" w:cs="Times New Roman"/>
        </w:rPr>
        <w:t xml:space="preserve"> </w:t>
      </w:r>
      <w:r w:rsidR="00B24748" w:rsidRPr="00DB556E">
        <w:rPr>
          <w:rFonts w:ascii="Times New Roman" w:hAnsi="Times New Roman" w:cs="Times New Roman"/>
        </w:rPr>
        <w:t xml:space="preserve">al contar con un </w:t>
      </w:r>
      <w:r w:rsidR="00B501FD" w:rsidRPr="00DB556E">
        <w:rPr>
          <w:rFonts w:ascii="Times New Roman" w:hAnsi="Times New Roman" w:cs="Times New Roman"/>
        </w:rPr>
        <w:t>presupuesto</w:t>
      </w:r>
      <w:r w:rsidR="00B24748" w:rsidRPr="00DB556E">
        <w:rPr>
          <w:rFonts w:ascii="Times New Roman" w:hAnsi="Times New Roman" w:cs="Times New Roman"/>
        </w:rPr>
        <w:t xml:space="preserve"> </w:t>
      </w:r>
      <w:r w:rsidR="00B501FD" w:rsidRPr="00DB556E">
        <w:rPr>
          <w:rFonts w:ascii="Times New Roman" w:hAnsi="Times New Roman" w:cs="Times New Roman"/>
        </w:rPr>
        <w:t>aprobado</w:t>
      </w:r>
      <w:r w:rsidR="00690E16" w:rsidRPr="00DB556E">
        <w:rPr>
          <w:rFonts w:ascii="Times New Roman" w:hAnsi="Times New Roman" w:cs="Times New Roman"/>
        </w:rPr>
        <w:t xml:space="preserve"> por el Congreso </w:t>
      </w:r>
      <w:r w:rsidR="00210ABD" w:rsidRPr="00DB556E">
        <w:rPr>
          <w:rFonts w:ascii="Times New Roman" w:hAnsi="Times New Roman" w:cs="Times New Roman"/>
        </w:rPr>
        <w:t>de la República</w:t>
      </w:r>
      <w:r w:rsidR="004A5583" w:rsidRPr="00DB556E">
        <w:rPr>
          <w:rFonts w:ascii="Times New Roman" w:hAnsi="Times New Roman" w:cs="Times New Roman"/>
        </w:rPr>
        <w:t xml:space="preserve"> y por</w:t>
      </w:r>
      <w:r w:rsidR="00241496" w:rsidRPr="00DB556E">
        <w:rPr>
          <w:rFonts w:ascii="Times New Roman" w:hAnsi="Times New Roman" w:cs="Times New Roman"/>
        </w:rPr>
        <w:t xml:space="preserve"> la</w:t>
      </w:r>
      <w:r w:rsidR="004A5583" w:rsidRPr="00DB556E">
        <w:rPr>
          <w:rFonts w:ascii="Times New Roman" w:hAnsi="Times New Roman" w:cs="Times New Roman"/>
        </w:rPr>
        <w:t>s</w:t>
      </w:r>
      <w:r w:rsidR="00241496" w:rsidRPr="00DB556E">
        <w:rPr>
          <w:rFonts w:ascii="Times New Roman" w:hAnsi="Times New Roman" w:cs="Times New Roman"/>
        </w:rPr>
        <w:t xml:space="preserve"> intervenciones </w:t>
      </w:r>
      <w:r w:rsidR="00E854F4" w:rsidRPr="00DB556E">
        <w:rPr>
          <w:rFonts w:ascii="Times New Roman" w:hAnsi="Times New Roman" w:cs="Times New Roman"/>
        </w:rPr>
        <w:t xml:space="preserve">del Gobierno para </w:t>
      </w:r>
      <w:r w:rsidR="00DA13A7" w:rsidRPr="00DB556E">
        <w:rPr>
          <w:rFonts w:ascii="Times New Roman" w:hAnsi="Times New Roman" w:cs="Times New Roman"/>
        </w:rPr>
        <w:t xml:space="preserve">aliviar los efectos del incremento de los precios </w:t>
      </w:r>
      <w:r w:rsidR="00884EE5" w:rsidRPr="00DB556E">
        <w:rPr>
          <w:rFonts w:ascii="Times New Roman" w:hAnsi="Times New Roman" w:cs="Times New Roman"/>
        </w:rPr>
        <w:t>de los combustibles</w:t>
      </w:r>
      <w:r w:rsidR="00393787" w:rsidRPr="00DB556E">
        <w:rPr>
          <w:rFonts w:ascii="Times New Roman" w:hAnsi="Times New Roman" w:cs="Times New Roman"/>
        </w:rPr>
        <w:t>.</w:t>
      </w:r>
    </w:p>
    <w:p w14:paraId="5791D1A2" w14:textId="77777777" w:rsidR="004B5293" w:rsidRPr="00DB556E" w:rsidRDefault="004B5293" w:rsidP="00EE52DF">
      <w:pPr>
        <w:pStyle w:val="Sinespaciado"/>
        <w:jc w:val="both"/>
        <w:rPr>
          <w:rFonts w:ascii="Times New Roman" w:hAnsi="Times New Roman" w:cs="Times New Roman"/>
        </w:rPr>
      </w:pPr>
    </w:p>
    <w:p w14:paraId="10242320" w14:textId="30DD9CFB" w:rsidR="00374C59" w:rsidRPr="00DB556E" w:rsidRDefault="00F36AEB" w:rsidP="00D11ADD">
      <w:pPr>
        <w:pStyle w:val="Ttulo2"/>
        <w:numPr>
          <w:ilvl w:val="1"/>
          <w:numId w:val="43"/>
        </w:numPr>
        <w:tabs>
          <w:tab w:val="left" w:pos="426"/>
        </w:tabs>
        <w:spacing w:before="0"/>
        <w:ind w:left="284" w:hanging="284"/>
        <w:rPr>
          <w:rFonts w:ascii="Times New Roman" w:hAnsi="Times New Roman" w:cs="Times New Roman"/>
          <w:color w:val="auto"/>
          <w:sz w:val="24"/>
        </w:rPr>
      </w:pPr>
      <w:bookmarkStart w:id="912" w:name="_Toc102477813"/>
      <w:r w:rsidRPr="00DB556E">
        <w:rPr>
          <w:rFonts w:ascii="Times New Roman" w:hAnsi="Times New Roman" w:cs="Times New Roman"/>
          <w:color w:val="auto"/>
          <w:sz w:val="24"/>
        </w:rPr>
        <w:t xml:space="preserve">Existe </w:t>
      </w:r>
      <w:r w:rsidR="0081405E" w:rsidRPr="00DB556E">
        <w:rPr>
          <w:rFonts w:ascii="Times New Roman" w:hAnsi="Times New Roman" w:cs="Times New Roman"/>
          <w:color w:val="auto"/>
          <w:sz w:val="24"/>
        </w:rPr>
        <w:t>un superávit</w:t>
      </w:r>
      <w:r w:rsidR="00414C97" w:rsidRPr="00DB556E">
        <w:rPr>
          <w:rFonts w:ascii="Times New Roman" w:hAnsi="Times New Roman" w:cs="Times New Roman"/>
          <w:color w:val="auto"/>
          <w:sz w:val="24"/>
        </w:rPr>
        <w:t xml:space="preserve"> </w:t>
      </w:r>
      <w:r w:rsidR="00462D58" w:rsidRPr="00DB556E">
        <w:rPr>
          <w:rFonts w:ascii="Times New Roman" w:hAnsi="Times New Roman" w:cs="Times New Roman"/>
          <w:color w:val="auto"/>
          <w:sz w:val="24"/>
        </w:rPr>
        <w:t>fiscal</w:t>
      </w:r>
      <w:bookmarkEnd w:id="912"/>
    </w:p>
    <w:p w14:paraId="55642BFC" w14:textId="55650F5D" w:rsidR="00FC2D03" w:rsidRPr="00DB556E" w:rsidRDefault="00C03F60" w:rsidP="00220281">
      <w:pPr>
        <w:pStyle w:val="Sinespaciado"/>
        <w:jc w:val="both"/>
        <w:rPr>
          <w:rFonts w:ascii="Times New Roman" w:hAnsi="Times New Roman" w:cs="Times New Roman"/>
        </w:rPr>
      </w:pPr>
      <w:r w:rsidRPr="00DB556E">
        <w:rPr>
          <w:rFonts w:ascii="Times New Roman" w:hAnsi="Times New Roman" w:cs="Times New Roman"/>
        </w:rPr>
        <w:t>En materia</w:t>
      </w:r>
      <w:r w:rsidR="0087647F" w:rsidRPr="00DB556E">
        <w:rPr>
          <w:rFonts w:ascii="Times New Roman" w:hAnsi="Times New Roman" w:cs="Times New Roman"/>
        </w:rPr>
        <w:t xml:space="preserve"> </w:t>
      </w:r>
      <w:r w:rsidR="00CA0CF4" w:rsidRPr="00DB556E">
        <w:rPr>
          <w:rFonts w:ascii="Times New Roman" w:hAnsi="Times New Roman" w:cs="Times New Roman"/>
        </w:rPr>
        <w:t>global del estado de resultados (</w:t>
      </w:r>
      <w:r w:rsidR="00EA7B3F" w:rsidRPr="00DB556E">
        <w:rPr>
          <w:rFonts w:ascii="Times New Roman" w:hAnsi="Times New Roman" w:cs="Times New Roman"/>
        </w:rPr>
        <w:t>este incluye</w:t>
      </w:r>
      <w:r w:rsidR="00CA0CF4" w:rsidRPr="00DB556E">
        <w:rPr>
          <w:rFonts w:ascii="Times New Roman" w:hAnsi="Times New Roman" w:cs="Times New Roman"/>
        </w:rPr>
        <w:t xml:space="preserve"> la adquisición en activos no financieros) se observa que </w:t>
      </w:r>
      <w:r w:rsidR="00B007DB" w:rsidRPr="00DB556E">
        <w:rPr>
          <w:rFonts w:ascii="Times New Roman" w:hAnsi="Times New Roman" w:cs="Times New Roman"/>
        </w:rPr>
        <w:t>existe un préstamo neto (superávit fiscal) de Q1,168.0 millones</w:t>
      </w:r>
      <w:r w:rsidR="00BC69D8" w:rsidRPr="00DB556E">
        <w:rPr>
          <w:rFonts w:ascii="Times New Roman" w:hAnsi="Times New Roman" w:cs="Times New Roman"/>
        </w:rPr>
        <w:t>,</w:t>
      </w:r>
      <w:r w:rsidR="00193510" w:rsidRPr="00DB556E">
        <w:rPr>
          <w:rFonts w:ascii="Times New Roman" w:hAnsi="Times New Roman" w:cs="Times New Roman"/>
        </w:rPr>
        <w:t xml:space="preserve"> en los primeros meses del año,</w:t>
      </w:r>
      <w:r w:rsidR="006F0E5F" w:rsidRPr="00DB556E">
        <w:rPr>
          <w:rFonts w:ascii="Times New Roman" w:hAnsi="Times New Roman" w:cs="Times New Roman"/>
        </w:rPr>
        <w:t xml:space="preserve"> con un resultado primario de Q3,223.0 millones</w:t>
      </w:r>
      <w:r w:rsidR="00451681" w:rsidRPr="00DB556E">
        <w:rPr>
          <w:rFonts w:ascii="Times New Roman" w:hAnsi="Times New Roman" w:cs="Times New Roman"/>
        </w:rPr>
        <w:t xml:space="preserve">. Cabe mencionar que adicional a lo mencionado anteriormente en el resultado operativo, se ha observado </w:t>
      </w:r>
      <w:r w:rsidR="00193510" w:rsidRPr="00DB556E">
        <w:rPr>
          <w:rFonts w:ascii="Times New Roman" w:hAnsi="Times New Roman" w:cs="Times New Roman"/>
        </w:rPr>
        <w:t>un aumento</w:t>
      </w:r>
      <w:r w:rsidR="00482B82" w:rsidRPr="00DB556E">
        <w:rPr>
          <w:rFonts w:ascii="Times New Roman" w:hAnsi="Times New Roman" w:cs="Times New Roman"/>
        </w:rPr>
        <w:t xml:space="preserve"> en la inversión de infraestructura </w:t>
      </w:r>
      <w:r w:rsidR="000D5BE8" w:rsidRPr="00DB556E">
        <w:rPr>
          <w:rFonts w:ascii="Times New Roman" w:hAnsi="Times New Roman" w:cs="Times New Roman"/>
        </w:rPr>
        <w:t>por medio de la adquisición de</w:t>
      </w:r>
      <w:r w:rsidR="00193510" w:rsidRPr="00DB556E">
        <w:rPr>
          <w:rFonts w:ascii="Times New Roman" w:hAnsi="Times New Roman" w:cs="Times New Roman"/>
        </w:rPr>
        <w:t xml:space="preserve"> la cuenta de edificios y estructuras</w:t>
      </w:r>
      <w:r w:rsidR="00D62A45" w:rsidRPr="00DB556E">
        <w:rPr>
          <w:rFonts w:ascii="Times New Roman" w:hAnsi="Times New Roman" w:cs="Times New Roman"/>
        </w:rPr>
        <w:t xml:space="preserve"> (incluye infraestructura vial) que impacta en la posición financiera.</w:t>
      </w:r>
    </w:p>
    <w:p w14:paraId="7EF84693" w14:textId="77777777" w:rsidR="00351EDC" w:rsidRPr="00DB556E" w:rsidRDefault="00351EDC">
      <w:pPr>
        <w:spacing w:after="200" w:line="276" w:lineRule="auto"/>
        <w:jc w:val="left"/>
        <w:rPr>
          <w:rFonts w:cs="Times New Roman"/>
          <w:b/>
          <w:szCs w:val="22"/>
          <w:lang w:val="es-MX"/>
        </w:rPr>
      </w:pPr>
    </w:p>
    <w:p w14:paraId="15B8620D" w14:textId="77777777" w:rsidR="00745870" w:rsidRPr="00DB556E" w:rsidRDefault="00745870">
      <w:pPr>
        <w:spacing w:after="200" w:line="276" w:lineRule="auto"/>
        <w:jc w:val="left"/>
        <w:rPr>
          <w:rFonts w:cs="Times New Roman"/>
          <w:b/>
          <w:szCs w:val="22"/>
          <w:lang w:val="es-MX"/>
        </w:rPr>
      </w:pPr>
    </w:p>
    <w:p w14:paraId="5D964EE2" w14:textId="77777777" w:rsidR="00745870" w:rsidRPr="00DB556E" w:rsidRDefault="00745870">
      <w:pPr>
        <w:spacing w:after="200" w:line="276" w:lineRule="auto"/>
        <w:jc w:val="left"/>
        <w:rPr>
          <w:rFonts w:cs="Times New Roman"/>
          <w:b/>
          <w:szCs w:val="22"/>
          <w:lang w:val="es-MX"/>
        </w:rPr>
      </w:pPr>
    </w:p>
    <w:p w14:paraId="6A5D1CD9" w14:textId="77777777" w:rsidR="00745870" w:rsidRPr="00DB556E" w:rsidRDefault="00745870">
      <w:pPr>
        <w:spacing w:after="200" w:line="276" w:lineRule="auto"/>
        <w:jc w:val="left"/>
        <w:rPr>
          <w:rFonts w:cs="Times New Roman"/>
          <w:b/>
          <w:szCs w:val="22"/>
          <w:lang w:val="es-MX"/>
        </w:rPr>
      </w:pPr>
    </w:p>
    <w:p w14:paraId="1128AE7D" w14:textId="77777777" w:rsidR="00745870" w:rsidRPr="00DB556E" w:rsidRDefault="00745870">
      <w:pPr>
        <w:spacing w:after="200" w:line="276" w:lineRule="auto"/>
        <w:jc w:val="left"/>
        <w:rPr>
          <w:rFonts w:cs="Times New Roman"/>
          <w:b/>
          <w:szCs w:val="22"/>
          <w:lang w:val="es-MX"/>
        </w:rPr>
      </w:pPr>
    </w:p>
    <w:p w14:paraId="60BABC56" w14:textId="77777777" w:rsidR="00745870" w:rsidRPr="00DB556E" w:rsidRDefault="00745870">
      <w:pPr>
        <w:spacing w:after="200" w:line="276" w:lineRule="auto"/>
        <w:jc w:val="left"/>
        <w:rPr>
          <w:rFonts w:cs="Times New Roman"/>
          <w:b/>
          <w:szCs w:val="22"/>
          <w:lang w:val="es-MX"/>
        </w:rPr>
      </w:pPr>
    </w:p>
    <w:p w14:paraId="76D821A8" w14:textId="77777777" w:rsidR="00745870" w:rsidRPr="00DB556E" w:rsidRDefault="00745870">
      <w:pPr>
        <w:spacing w:after="200" w:line="276" w:lineRule="auto"/>
        <w:jc w:val="left"/>
        <w:rPr>
          <w:rFonts w:cs="Times New Roman"/>
          <w:b/>
          <w:szCs w:val="22"/>
          <w:lang w:val="es-MX"/>
        </w:rPr>
      </w:pPr>
    </w:p>
    <w:p w14:paraId="5C9011E1" w14:textId="77777777" w:rsidR="00745870" w:rsidRPr="00DB556E" w:rsidRDefault="00745870">
      <w:pPr>
        <w:spacing w:after="200" w:line="276" w:lineRule="auto"/>
        <w:jc w:val="left"/>
        <w:rPr>
          <w:rFonts w:cs="Times New Roman"/>
          <w:b/>
          <w:szCs w:val="22"/>
          <w:lang w:val="es-MX"/>
        </w:rPr>
      </w:pPr>
    </w:p>
    <w:p w14:paraId="1E0ADBA7" w14:textId="77777777" w:rsidR="00745870" w:rsidRPr="00DB556E" w:rsidRDefault="00745870">
      <w:pPr>
        <w:spacing w:after="200" w:line="276" w:lineRule="auto"/>
        <w:jc w:val="left"/>
        <w:rPr>
          <w:rFonts w:cs="Times New Roman"/>
          <w:b/>
          <w:szCs w:val="22"/>
          <w:lang w:val="es-MX"/>
        </w:rPr>
      </w:pPr>
    </w:p>
    <w:p w14:paraId="21995343" w14:textId="77777777" w:rsidR="00745870" w:rsidRPr="00DB556E" w:rsidRDefault="00745870">
      <w:pPr>
        <w:spacing w:after="200" w:line="276" w:lineRule="auto"/>
        <w:jc w:val="left"/>
        <w:rPr>
          <w:rFonts w:cs="Times New Roman"/>
          <w:b/>
          <w:szCs w:val="22"/>
          <w:lang w:val="es-MX"/>
        </w:rPr>
      </w:pPr>
    </w:p>
    <w:p w14:paraId="121BF0A8" w14:textId="77777777" w:rsidR="00745870" w:rsidRPr="00DB556E" w:rsidRDefault="00745870">
      <w:pPr>
        <w:spacing w:after="200" w:line="276" w:lineRule="auto"/>
        <w:jc w:val="left"/>
        <w:rPr>
          <w:rFonts w:cs="Times New Roman"/>
          <w:b/>
          <w:szCs w:val="22"/>
          <w:lang w:val="es-MX"/>
        </w:rPr>
      </w:pPr>
    </w:p>
    <w:p w14:paraId="54EC232A" w14:textId="77777777" w:rsidR="00745870" w:rsidRPr="00DB556E" w:rsidRDefault="00745870">
      <w:pPr>
        <w:spacing w:after="200" w:line="276" w:lineRule="auto"/>
        <w:jc w:val="left"/>
        <w:rPr>
          <w:rFonts w:cs="Times New Roman"/>
          <w:b/>
          <w:szCs w:val="22"/>
          <w:lang w:val="es-MX"/>
        </w:rPr>
      </w:pPr>
    </w:p>
    <w:p w14:paraId="020DDCB3" w14:textId="77777777" w:rsidR="00264A75" w:rsidRPr="00DB556E" w:rsidRDefault="00264A75" w:rsidP="00997543">
      <w:pPr>
        <w:jc w:val="center"/>
        <w:rPr>
          <w:rFonts w:cs="Times New Roman"/>
          <w:b/>
          <w:szCs w:val="22"/>
          <w:lang w:val="es-MX"/>
        </w:rPr>
      </w:pPr>
      <w:r w:rsidRPr="00DB556E">
        <w:rPr>
          <w:rFonts w:cs="Times New Roman"/>
          <w:b/>
          <w:szCs w:val="22"/>
          <w:lang w:val="es-MX"/>
        </w:rPr>
        <w:t xml:space="preserve">Estado de </w:t>
      </w:r>
      <w:r w:rsidR="00697544" w:rsidRPr="00DB556E">
        <w:rPr>
          <w:rFonts w:cs="Times New Roman"/>
          <w:b/>
          <w:szCs w:val="22"/>
          <w:lang w:val="es-MX"/>
        </w:rPr>
        <w:t>O</w:t>
      </w:r>
      <w:r w:rsidRPr="00DB556E">
        <w:rPr>
          <w:rFonts w:cs="Times New Roman"/>
          <w:b/>
          <w:szCs w:val="22"/>
          <w:lang w:val="es-MX"/>
        </w:rPr>
        <w:t>peraciones</w:t>
      </w:r>
      <w:r w:rsidR="007105EE" w:rsidRPr="00DB556E">
        <w:rPr>
          <w:rFonts w:cs="Times New Roman"/>
          <w:b/>
          <w:szCs w:val="22"/>
          <w:lang w:val="es-MX"/>
        </w:rPr>
        <w:t xml:space="preserve"> </w:t>
      </w:r>
      <w:r w:rsidRPr="00DB556E">
        <w:rPr>
          <w:rFonts w:cs="Times New Roman"/>
          <w:b/>
          <w:szCs w:val="22"/>
          <w:lang w:val="es-MX"/>
        </w:rPr>
        <w:t>del Gobierno Central Presupuestario</w:t>
      </w:r>
    </w:p>
    <w:p w14:paraId="68D87BB8" w14:textId="77777777" w:rsidR="007105EE" w:rsidRPr="00DB556E" w:rsidRDefault="007105EE" w:rsidP="00997543">
      <w:pPr>
        <w:jc w:val="center"/>
        <w:rPr>
          <w:rFonts w:cs="Times New Roman"/>
          <w:b/>
          <w:szCs w:val="22"/>
          <w:lang w:val="es-MX"/>
        </w:rPr>
      </w:pPr>
      <w:r w:rsidRPr="00DB556E">
        <w:rPr>
          <w:rFonts w:cs="Times New Roman"/>
          <w:b/>
          <w:szCs w:val="22"/>
          <w:lang w:val="es-MX"/>
        </w:rPr>
        <w:t xml:space="preserve">Cifras acumuladas a </w:t>
      </w:r>
      <w:r w:rsidR="00867ED8" w:rsidRPr="00DB556E">
        <w:rPr>
          <w:rFonts w:cs="Times New Roman"/>
          <w:b/>
          <w:szCs w:val="22"/>
          <w:lang w:val="es-MX"/>
        </w:rPr>
        <w:t>marzo</w:t>
      </w:r>
      <w:r w:rsidR="0040363B" w:rsidRPr="00DB556E">
        <w:rPr>
          <w:rFonts w:cs="Times New Roman"/>
          <w:b/>
          <w:szCs w:val="22"/>
          <w:lang w:val="es-MX"/>
        </w:rPr>
        <w:t xml:space="preserve"> de cada año</w:t>
      </w:r>
      <w:r w:rsidRPr="00DB556E">
        <w:rPr>
          <w:rFonts w:cs="Times New Roman"/>
          <w:b/>
          <w:szCs w:val="22"/>
          <w:lang w:val="es-MX"/>
        </w:rPr>
        <w:t>*</w:t>
      </w:r>
    </w:p>
    <w:p w14:paraId="540F20A1" w14:textId="053B2096" w:rsidR="00D145A4" w:rsidRPr="00DB556E" w:rsidRDefault="00697544" w:rsidP="00D145A4">
      <w:pPr>
        <w:spacing w:after="240"/>
        <w:jc w:val="center"/>
        <w:rPr>
          <w:rFonts w:asciiTheme="minorHAnsi" w:eastAsiaTheme="minorHAnsi" w:hAnsiTheme="minorHAnsi"/>
          <w:szCs w:val="22"/>
          <w:lang w:eastAsia="en-US"/>
        </w:rPr>
      </w:pPr>
      <w:r w:rsidRPr="00DB556E">
        <w:rPr>
          <w:rFonts w:cs="Times New Roman"/>
          <w:bCs/>
          <w:szCs w:val="22"/>
          <w:lang w:val="es-MX"/>
        </w:rPr>
        <w:t>En millones de Quetzales</w:t>
      </w:r>
      <w:r w:rsidR="00414C97" w:rsidRPr="00DB556E">
        <w:rPr>
          <w:rFonts w:cs="Times New Roman"/>
          <w:bCs/>
          <w:szCs w:val="22"/>
          <w:lang w:val="es-MX"/>
        </w:rPr>
        <w:t xml:space="preserve"> y</w:t>
      </w:r>
      <w:r w:rsidR="0090006B" w:rsidRPr="00DB556E">
        <w:rPr>
          <w:rFonts w:cs="Times New Roman"/>
          <w:bCs/>
          <w:szCs w:val="22"/>
          <w:lang w:val="es-MX"/>
        </w:rPr>
        <w:t xml:space="preserve"> </w:t>
      </w:r>
      <w:r w:rsidR="00414C97" w:rsidRPr="00DB556E">
        <w:rPr>
          <w:rFonts w:cs="Times New Roman"/>
          <w:bCs/>
          <w:szCs w:val="22"/>
          <w:lang w:val="es-MX"/>
        </w:rPr>
        <w:t>Porcentajes</w:t>
      </w:r>
      <w:r w:rsidR="00D145A4" w:rsidRPr="00DB556E">
        <w:rPr>
          <w:lang w:val="es-MX"/>
        </w:rPr>
        <w:fldChar w:fldCharType="begin"/>
      </w:r>
      <w:r w:rsidR="00D145A4" w:rsidRPr="00DB556E">
        <w:rPr>
          <w:lang w:val="es-MX"/>
        </w:rPr>
        <w:instrText xml:space="preserve"> LINK Excel.Sheet.12 "https://d.docs.live.net/839d125cae53b6db/FMI/EFP/MEFP2014/Documentos MEFP/Informe Trismestral/Para Gráficas informe trimetral.xlsx" "Estado de Operaciones!F3C3:F36C7" \a \f 4 \h </w:instrText>
      </w:r>
      <w:r w:rsidR="00DB556E">
        <w:rPr>
          <w:lang w:val="es-MX"/>
        </w:rPr>
        <w:instrText xml:space="preserve"> \* MERGEFORMAT </w:instrText>
      </w:r>
      <w:r w:rsidR="00D145A4" w:rsidRPr="00DB556E">
        <w:rPr>
          <w:lang w:val="es-MX"/>
        </w:rPr>
        <w:fldChar w:fldCharType="separate"/>
      </w:r>
    </w:p>
    <w:tbl>
      <w:tblPr>
        <w:tblW w:w="6574" w:type="dxa"/>
        <w:jc w:val="center"/>
        <w:tblCellMar>
          <w:left w:w="70" w:type="dxa"/>
          <w:right w:w="70" w:type="dxa"/>
        </w:tblCellMar>
        <w:tblLook w:val="04A0" w:firstRow="1" w:lastRow="0" w:firstColumn="1" w:lastColumn="0" w:noHBand="0" w:noVBand="1"/>
      </w:tblPr>
      <w:tblGrid>
        <w:gridCol w:w="3093"/>
        <w:gridCol w:w="857"/>
        <w:gridCol w:w="857"/>
        <w:gridCol w:w="857"/>
        <w:gridCol w:w="910"/>
      </w:tblGrid>
      <w:tr w:rsidR="00D145A4" w:rsidRPr="00DB556E" w14:paraId="24DEAB97" w14:textId="77777777" w:rsidTr="00D145A4">
        <w:trPr>
          <w:trHeight w:val="277"/>
          <w:jc w:val="center"/>
        </w:trPr>
        <w:tc>
          <w:tcPr>
            <w:tcW w:w="3093" w:type="dxa"/>
            <w:vMerge w:val="restart"/>
            <w:tcBorders>
              <w:top w:val="single" w:sz="8" w:space="0" w:color="auto"/>
              <w:left w:val="single" w:sz="8" w:space="0" w:color="auto"/>
              <w:bottom w:val="single" w:sz="8" w:space="0" w:color="000000"/>
              <w:right w:val="nil"/>
            </w:tcBorders>
            <w:shd w:val="clear" w:color="000000" w:fill="44546A"/>
            <w:noWrap/>
            <w:vAlign w:val="center"/>
            <w:hideMark/>
          </w:tcPr>
          <w:p w14:paraId="6363A8B6" w14:textId="77777777" w:rsidR="00D145A4" w:rsidRPr="00DB556E" w:rsidRDefault="00D145A4" w:rsidP="00D145A4">
            <w:pPr>
              <w:jc w:val="center"/>
              <w:rPr>
                <w:rFonts w:eastAsia="Times New Roman" w:cs="Times New Roman"/>
                <w:b/>
                <w:bCs/>
                <w:color w:val="FFFFFF"/>
                <w:sz w:val="18"/>
                <w:szCs w:val="18"/>
                <w:lang w:eastAsia="es-GT"/>
              </w:rPr>
            </w:pPr>
            <w:r w:rsidRPr="00DB556E">
              <w:rPr>
                <w:rFonts w:eastAsia="Times New Roman" w:cs="Times New Roman"/>
                <w:b/>
                <w:bCs/>
                <w:color w:val="FFFFFF"/>
                <w:sz w:val="18"/>
                <w:szCs w:val="18"/>
                <w:lang w:eastAsia="es-GT"/>
              </w:rPr>
              <w:t>Descripción</w:t>
            </w:r>
          </w:p>
        </w:tc>
        <w:tc>
          <w:tcPr>
            <w:tcW w:w="85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014C415C" w14:textId="77777777" w:rsidR="00D145A4" w:rsidRPr="00DB556E" w:rsidRDefault="00D145A4" w:rsidP="00D145A4">
            <w:pPr>
              <w:jc w:val="center"/>
              <w:rPr>
                <w:rFonts w:eastAsia="Times New Roman" w:cs="Times New Roman"/>
                <w:b/>
                <w:bCs/>
                <w:color w:val="FFFFFF"/>
                <w:sz w:val="18"/>
                <w:szCs w:val="18"/>
                <w:lang w:eastAsia="es-GT"/>
              </w:rPr>
            </w:pPr>
            <w:r w:rsidRPr="00DB556E">
              <w:rPr>
                <w:rFonts w:eastAsia="Times New Roman" w:cs="Times New Roman"/>
                <w:b/>
                <w:bCs/>
                <w:color w:val="FFFFFF"/>
                <w:sz w:val="18"/>
                <w:szCs w:val="18"/>
                <w:lang w:eastAsia="es-GT"/>
              </w:rPr>
              <w:t>2021</w:t>
            </w:r>
          </w:p>
        </w:tc>
        <w:tc>
          <w:tcPr>
            <w:tcW w:w="857" w:type="dxa"/>
            <w:vMerge w:val="restart"/>
            <w:tcBorders>
              <w:top w:val="single" w:sz="8" w:space="0" w:color="auto"/>
              <w:left w:val="single" w:sz="8" w:space="0" w:color="auto"/>
              <w:bottom w:val="single" w:sz="8" w:space="0" w:color="000000"/>
              <w:right w:val="single" w:sz="8" w:space="0" w:color="auto"/>
            </w:tcBorders>
            <w:shd w:val="clear" w:color="000000" w:fill="44546A"/>
            <w:vAlign w:val="center"/>
            <w:hideMark/>
          </w:tcPr>
          <w:p w14:paraId="657427D5" w14:textId="77777777" w:rsidR="00D145A4" w:rsidRPr="00DB556E" w:rsidRDefault="00D145A4" w:rsidP="00D145A4">
            <w:pPr>
              <w:jc w:val="center"/>
              <w:rPr>
                <w:rFonts w:eastAsia="Times New Roman" w:cs="Times New Roman"/>
                <w:b/>
                <w:bCs/>
                <w:color w:val="FFFFFF"/>
                <w:sz w:val="18"/>
                <w:szCs w:val="18"/>
                <w:lang w:eastAsia="es-GT"/>
              </w:rPr>
            </w:pPr>
            <w:r w:rsidRPr="00DB556E">
              <w:rPr>
                <w:rFonts w:eastAsia="Times New Roman" w:cs="Times New Roman"/>
                <w:b/>
                <w:bCs/>
                <w:color w:val="FFFFFF"/>
                <w:sz w:val="18"/>
                <w:szCs w:val="18"/>
                <w:lang w:eastAsia="es-GT"/>
              </w:rPr>
              <w:t>2022*</w:t>
            </w:r>
          </w:p>
        </w:tc>
        <w:tc>
          <w:tcPr>
            <w:tcW w:w="1767" w:type="dxa"/>
            <w:gridSpan w:val="2"/>
            <w:tcBorders>
              <w:top w:val="single" w:sz="8" w:space="0" w:color="auto"/>
              <w:left w:val="nil"/>
              <w:bottom w:val="single" w:sz="8" w:space="0" w:color="auto"/>
              <w:right w:val="single" w:sz="8" w:space="0" w:color="000000"/>
            </w:tcBorders>
            <w:shd w:val="clear" w:color="000000" w:fill="44546A"/>
            <w:vAlign w:val="center"/>
            <w:hideMark/>
          </w:tcPr>
          <w:p w14:paraId="3429062D" w14:textId="77777777" w:rsidR="00D145A4" w:rsidRPr="00DB556E" w:rsidRDefault="00D145A4" w:rsidP="00D145A4">
            <w:pPr>
              <w:jc w:val="center"/>
              <w:rPr>
                <w:rFonts w:eastAsia="Times New Roman" w:cs="Times New Roman"/>
                <w:b/>
                <w:bCs/>
                <w:color w:val="FFFFFF"/>
                <w:sz w:val="18"/>
                <w:szCs w:val="18"/>
                <w:lang w:eastAsia="es-GT"/>
              </w:rPr>
            </w:pPr>
            <w:r w:rsidRPr="00DB556E">
              <w:rPr>
                <w:rFonts w:eastAsia="Times New Roman" w:cs="Times New Roman"/>
                <w:b/>
                <w:bCs/>
                <w:color w:val="FFFFFF"/>
                <w:sz w:val="18"/>
                <w:szCs w:val="18"/>
                <w:lang w:eastAsia="es-GT"/>
              </w:rPr>
              <w:t>Variación Interanual</w:t>
            </w:r>
          </w:p>
        </w:tc>
      </w:tr>
      <w:tr w:rsidR="00D145A4" w:rsidRPr="00DB556E" w14:paraId="4FC4EC1A" w14:textId="77777777" w:rsidTr="00D145A4">
        <w:trPr>
          <w:trHeight w:val="277"/>
          <w:jc w:val="center"/>
        </w:trPr>
        <w:tc>
          <w:tcPr>
            <w:tcW w:w="3093" w:type="dxa"/>
            <w:vMerge/>
            <w:tcBorders>
              <w:top w:val="single" w:sz="8" w:space="0" w:color="auto"/>
              <w:left w:val="single" w:sz="8" w:space="0" w:color="auto"/>
              <w:bottom w:val="single" w:sz="8" w:space="0" w:color="000000"/>
              <w:right w:val="nil"/>
            </w:tcBorders>
            <w:vAlign w:val="center"/>
            <w:hideMark/>
          </w:tcPr>
          <w:p w14:paraId="0D697F06" w14:textId="77777777" w:rsidR="00D145A4" w:rsidRPr="00DB556E" w:rsidRDefault="00D145A4" w:rsidP="00D145A4">
            <w:pPr>
              <w:jc w:val="left"/>
              <w:rPr>
                <w:rFonts w:eastAsia="Times New Roman" w:cs="Times New Roman"/>
                <w:b/>
                <w:bCs/>
                <w:color w:val="FFFFFF"/>
                <w:sz w:val="18"/>
                <w:szCs w:val="18"/>
                <w:lang w:eastAsia="es-GT"/>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14:paraId="233AC161" w14:textId="77777777" w:rsidR="00D145A4" w:rsidRPr="00DB556E" w:rsidRDefault="00D145A4" w:rsidP="00D145A4">
            <w:pPr>
              <w:jc w:val="left"/>
              <w:rPr>
                <w:rFonts w:eastAsia="Times New Roman" w:cs="Times New Roman"/>
                <w:b/>
                <w:bCs/>
                <w:color w:val="FFFFFF"/>
                <w:sz w:val="18"/>
                <w:szCs w:val="18"/>
                <w:lang w:eastAsia="es-GT"/>
              </w:rPr>
            </w:pPr>
          </w:p>
        </w:tc>
        <w:tc>
          <w:tcPr>
            <w:tcW w:w="857" w:type="dxa"/>
            <w:vMerge/>
            <w:tcBorders>
              <w:top w:val="single" w:sz="8" w:space="0" w:color="auto"/>
              <w:left w:val="single" w:sz="8" w:space="0" w:color="auto"/>
              <w:bottom w:val="single" w:sz="8" w:space="0" w:color="000000"/>
              <w:right w:val="single" w:sz="8" w:space="0" w:color="auto"/>
            </w:tcBorders>
            <w:vAlign w:val="center"/>
            <w:hideMark/>
          </w:tcPr>
          <w:p w14:paraId="2019628F" w14:textId="77777777" w:rsidR="00D145A4" w:rsidRPr="00DB556E" w:rsidRDefault="00D145A4" w:rsidP="00D145A4">
            <w:pPr>
              <w:jc w:val="left"/>
              <w:rPr>
                <w:rFonts w:eastAsia="Times New Roman" w:cs="Times New Roman"/>
                <w:b/>
                <w:bCs/>
                <w:color w:val="FFFFFF"/>
                <w:sz w:val="18"/>
                <w:szCs w:val="18"/>
                <w:lang w:eastAsia="es-GT"/>
              </w:rPr>
            </w:pPr>
          </w:p>
        </w:tc>
        <w:tc>
          <w:tcPr>
            <w:tcW w:w="857" w:type="dxa"/>
            <w:tcBorders>
              <w:top w:val="nil"/>
              <w:left w:val="nil"/>
              <w:bottom w:val="single" w:sz="8" w:space="0" w:color="auto"/>
              <w:right w:val="single" w:sz="8" w:space="0" w:color="auto"/>
            </w:tcBorders>
            <w:shd w:val="clear" w:color="000000" w:fill="808080"/>
            <w:vAlign w:val="center"/>
            <w:hideMark/>
          </w:tcPr>
          <w:p w14:paraId="08E6C3E5" w14:textId="77777777" w:rsidR="00D145A4" w:rsidRPr="00DB556E" w:rsidRDefault="00D145A4" w:rsidP="00D145A4">
            <w:pPr>
              <w:jc w:val="center"/>
              <w:rPr>
                <w:rFonts w:eastAsia="Times New Roman" w:cs="Times New Roman"/>
                <w:b/>
                <w:bCs/>
                <w:color w:val="FFFFFF"/>
                <w:sz w:val="18"/>
                <w:szCs w:val="18"/>
                <w:lang w:eastAsia="es-GT"/>
              </w:rPr>
            </w:pPr>
            <w:r w:rsidRPr="00DB556E">
              <w:rPr>
                <w:rFonts w:eastAsia="Times New Roman" w:cs="Times New Roman"/>
                <w:b/>
                <w:bCs/>
                <w:color w:val="FFFFFF"/>
                <w:sz w:val="18"/>
                <w:szCs w:val="18"/>
                <w:lang w:eastAsia="es-GT"/>
              </w:rPr>
              <w:t>Absoluta</w:t>
            </w:r>
          </w:p>
        </w:tc>
        <w:tc>
          <w:tcPr>
            <w:tcW w:w="910" w:type="dxa"/>
            <w:tcBorders>
              <w:top w:val="nil"/>
              <w:left w:val="nil"/>
              <w:bottom w:val="single" w:sz="8" w:space="0" w:color="auto"/>
              <w:right w:val="single" w:sz="8" w:space="0" w:color="auto"/>
            </w:tcBorders>
            <w:shd w:val="clear" w:color="000000" w:fill="808080"/>
            <w:vAlign w:val="center"/>
            <w:hideMark/>
          </w:tcPr>
          <w:p w14:paraId="17F5E7A9" w14:textId="77777777" w:rsidR="00D145A4" w:rsidRPr="00DB556E" w:rsidRDefault="00D145A4" w:rsidP="00D145A4">
            <w:pPr>
              <w:jc w:val="center"/>
              <w:rPr>
                <w:rFonts w:eastAsia="Times New Roman" w:cs="Times New Roman"/>
                <w:b/>
                <w:bCs/>
                <w:color w:val="FFFFFF"/>
                <w:sz w:val="18"/>
                <w:szCs w:val="18"/>
                <w:lang w:eastAsia="es-GT"/>
              </w:rPr>
            </w:pPr>
            <w:r w:rsidRPr="00DB556E">
              <w:rPr>
                <w:rFonts w:eastAsia="Times New Roman" w:cs="Times New Roman"/>
                <w:b/>
                <w:bCs/>
                <w:color w:val="FFFFFF"/>
                <w:sz w:val="18"/>
                <w:szCs w:val="18"/>
                <w:lang w:eastAsia="es-GT"/>
              </w:rPr>
              <w:t>Relativa</w:t>
            </w:r>
          </w:p>
        </w:tc>
      </w:tr>
      <w:tr w:rsidR="004B1B2C" w:rsidRPr="00DB556E" w14:paraId="55A3836D"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50A273A4" w14:textId="77777777" w:rsidR="004B1B2C" w:rsidRPr="00DB556E" w:rsidRDefault="004B1B2C" w:rsidP="004B1B2C">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INGRESO</w:t>
            </w:r>
          </w:p>
        </w:tc>
        <w:tc>
          <w:tcPr>
            <w:tcW w:w="857" w:type="dxa"/>
            <w:tcBorders>
              <w:top w:val="nil"/>
              <w:left w:val="nil"/>
              <w:bottom w:val="nil"/>
              <w:right w:val="nil"/>
            </w:tcBorders>
            <w:shd w:val="clear" w:color="auto" w:fill="auto"/>
            <w:noWrap/>
            <w:vAlign w:val="center"/>
            <w:hideMark/>
          </w:tcPr>
          <w:p w14:paraId="033B3E63"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19,363.8</w:t>
            </w:r>
          </w:p>
        </w:tc>
        <w:tc>
          <w:tcPr>
            <w:tcW w:w="857" w:type="dxa"/>
            <w:tcBorders>
              <w:top w:val="nil"/>
              <w:left w:val="nil"/>
              <w:bottom w:val="nil"/>
              <w:right w:val="nil"/>
            </w:tcBorders>
            <w:shd w:val="clear" w:color="auto" w:fill="auto"/>
            <w:noWrap/>
            <w:vAlign w:val="center"/>
            <w:hideMark/>
          </w:tcPr>
          <w:p w14:paraId="12D50D58"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22,252.2</w:t>
            </w:r>
          </w:p>
        </w:tc>
        <w:tc>
          <w:tcPr>
            <w:tcW w:w="857" w:type="dxa"/>
            <w:tcBorders>
              <w:top w:val="nil"/>
              <w:left w:val="dotDash" w:sz="4" w:space="0" w:color="auto"/>
              <w:bottom w:val="nil"/>
              <w:right w:val="nil"/>
            </w:tcBorders>
            <w:shd w:val="clear" w:color="auto" w:fill="auto"/>
            <w:noWrap/>
            <w:vAlign w:val="center"/>
            <w:hideMark/>
          </w:tcPr>
          <w:p w14:paraId="126DB759"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2,888.3</w:t>
            </w:r>
          </w:p>
        </w:tc>
        <w:tc>
          <w:tcPr>
            <w:tcW w:w="910" w:type="dxa"/>
            <w:tcBorders>
              <w:top w:val="nil"/>
              <w:left w:val="nil"/>
              <w:bottom w:val="nil"/>
              <w:right w:val="nil"/>
            </w:tcBorders>
            <w:shd w:val="clear" w:color="auto" w:fill="auto"/>
            <w:noWrap/>
            <w:vAlign w:val="center"/>
            <w:hideMark/>
          </w:tcPr>
          <w:p w14:paraId="161F9BAA"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14.9</w:t>
            </w:r>
          </w:p>
        </w:tc>
      </w:tr>
      <w:tr w:rsidR="004B1B2C" w:rsidRPr="00DB556E" w14:paraId="5241B307"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7CF5CF0D"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Impuestos</w:t>
            </w:r>
          </w:p>
        </w:tc>
        <w:tc>
          <w:tcPr>
            <w:tcW w:w="857" w:type="dxa"/>
            <w:tcBorders>
              <w:top w:val="nil"/>
              <w:left w:val="nil"/>
              <w:bottom w:val="nil"/>
              <w:right w:val="nil"/>
            </w:tcBorders>
            <w:shd w:val="clear" w:color="auto" w:fill="auto"/>
            <w:noWrap/>
            <w:vAlign w:val="center"/>
            <w:hideMark/>
          </w:tcPr>
          <w:p w14:paraId="7D15197C"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17,631.4</w:t>
            </w:r>
          </w:p>
        </w:tc>
        <w:tc>
          <w:tcPr>
            <w:tcW w:w="857" w:type="dxa"/>
            <w:tcBorders>
              <w:top w:val="nil"/>
              <w:left w:val="nil"/>
              <w:bottom w:val="nil"/>
              <w:right w:val="nil"/>
            </w:tcBorders>
            <w:shd w:val="clear" w:color="auto" w:fill="auto"/>
            <w:noWrap/>
            <w:vAlign w:val="center"/>
            <w:hideMark/>
          </w:tcPr>
          <w:p w14:paraId="2D7F9C50"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20,438.0</w:t>
            </w:r>
          </w:p>
        </w:tc>
        <w:tc>
          <w:tcPr>
            <w:tcW w:w="857" w:type="dxa"/>
            <w:tcBorders>
              <w:top w:val="nil"/>
              <w:left w:val="dotDash" w:sz="4" w:space="0" w:color="auto"/>
              <w:bottom w:val="nil"/>
              <w:right w:val="nil"/>
            </w:tcBorders>
            <w:shd w:val="clear" w:color="auto" w:fill="auto"/>
            <w:noWrap/>
            <w:vAlign w:val="center"/>
            <w:hideMark/>
          </w:tcPr>
          <w:p w14:paraId="139C830E"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2,806.7</w:t>
            </w:r>
          </w:p>
        </w:tc>
        <w:tc>
          <w:tcPr>
            <w:tcW w:w="910" w:type="dxa"/>
            <w:tcBorders>
              <w:top w:val="nil"/>
              <w:left w:val="nil"/>
              <w:bottom w:val="nil"/>
              <w:right w:val="nil"/>
            </w:tcBorders>
            <w:shd w:val="clear" w:color="auto" w:fill="auto"/>
            <w:noWrap/>
            <w:vAlign w:val="center"/>
            <w:hideMark/>
          </w:tcPr>
          <w:p w14:paraId="765C6954"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15.9</w:t>
            </w:r>
          </w:p>
        </w:tc>
      </w:tr>
      <w:tr w:rsidR="004B1B2C" w:rsidRPr="00DB556E" w14:paraId="465B0E34"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3D7DE298"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Contribuciones sociales </w:t>
            </w:r>
          </w:p>
        </w:tc>
        <w:tc>
          <w:tcPr>
            <w:tcW w:w="857" w:type="dxa"/>
            <w:tcBorders>
              <w:top w:val="nil"/>
              <w:left w:val="nil"/>
              <w:bottom w:val="nil"/>
              <w:right w:val="nil"/>
            </w:tcBorders>
            <w:shd w:val="clear" w:color="auto" w:fill="auto"/>
            <w:noWrap/>
            <w:vAlign w:val="center"/>
            <w:hideMark/>
          </w:tcPr>
          <w:p w14:paraId="216AACE6"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1,139.9</w:t>
            </w:r>
          </w:p>
        </w:tc>
        <w:tc>
          <w:tcPr>
            <w:tcW w:w="857" w:type="dxa"/>
            <w:tcBorders>
              <w:top w:val="nil"/>
              <w:left w:val="nil"/>
              <w:bottom w:val="nil"/>
              <w:right w:val="nil"/>
            </w:tcBorders>
            <w:shd w:val="clear" w:color="auto" w:fill="auto"/>
            <w:noWrap/>
            <w:vAlign w:val="center"/>
            <w:hideMark/>
          </w:tcPr>
          <w:p w14:paraId="1477B891"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1,166.5</w:t>
            </w:r>
          </w:p>
        </w:tc>
        <w:tc>
          <w:tcPr>
            <w:tcW w:w="857" w:type="dxa"/>
            <w:tcBorders>
              <w:top w:val="nil"/>
              <w:left w:val="dotDash" w:sz="4" w:space="0" w:color="auto"/>
              <w:bottom w:val="nil"/>
              <w:right w:val="nil"/>
            </w:tcBorders>
            <w:shd w:val="clear" w:color="auto" w:fill="auto"/>
            <w:noWrap/>
            <w:vAlign w:val="center"/>
            <w:hideMark/>
          </w:tcPr>
          <w:p w14:paraId="4FF05151"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26.6</w:t>
            </w:r>
          </w:p>
        </w:tc>
        <w:tc>
          <w:tcPr>
            <w:tcW w:w="910" w:type="dxa"/>
            <w:tcBorders>
              <w:top w:val="nil"/>
              <w:left w:val="nil"/>
              <w:bottom w:val="nil"/>
              <w:right w:val="nil"/>
            </w:tcBorders>
            <w:shd w:val="clear" w:color="auto" w:fill="auto"/>
            <w:noWrap/>
            <w:vAlign w:val="center"/>
            <w:hideMark/>
          </w:tcPr>
          <w:p w14:paraId="516C6492"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2.3</w:t>
            </w:r>
          </w:p>
        </w:tc>
      </w:tr>
      <w:tr w:rsidR="004B1B2C" w:rsidRPr="00DB556E" w14:paraId="283EF4B8"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2E3CC093"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Donaciones</w:t>
            </w:r>
          </w:p>
        </w:tc>
        <w:tc>
          <w:tcPr>
            <w:tcW w:w="857" w:type="dxa"/>
            <w:tcBorders>
              <w:top w:val="nil"/>
              <w:left w:val="nil"/>
              <w:bottom w:val="nil"/>
              <w:right w:val="nil"/>
            </w:tcBorders>
            <w:shd w:val="clear" w:color="auto" w:fill="auto"/>
            <w:noWrap/>
            <w:vAlign w:val="center"/>
            <w:hideMark/>
          </w:tcPr>
          <w:p w14:paraId="6BB49F84"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32.9</w:t>
            </w:r>
          </w:p>
        </w:tc>
        <w:tc>
          <w:tcPr>
            <w:tcW w:w="857" w:type="dxa"/>
            <w:tcBorders>
              <w:top w:val="nil"/>
              <w:left w:val="nil"/>
              <w:bottom w:val="nil"/>
              <w:right w:val="nil"/>
            </w:tcBorders>
            <w:shd w:val="clear" w:color="auto" w:fill="auto"/>
            <w:noWrap/>
            <w:vAlign w:val="center"/>
            <w:hideMark/>
          </w:tcPr>
          <w:p w14:paraId="0B587C2C"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4.2</w:t>
            </w:r>
          </w:p>
        </w:tc>
        <w:tc>
          <w:tcPr>
            <w:tcW w:w="857" w:type="dxa"/>
            <w:tcBorders>
              <w:top w:val="nil"/>
              <w:left w:val="dotDash" w:sz="4" w:space="0" w:color="auto"/>
              <w:bottom w:val="nil"/>
              <w:right w:val="nil"/>
            </w:tcBorders>
            <w:shd w:val="clear" w:color="auto" w:fill="auto"/>
            <w:noWrap/>
            <w:vAlign w:val="center"/>
            <w:hideMark/>
          </w:tcPr>
          <w:p w14:paraId="5CA06924"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-28.7</w:t>
            </w:r>
          </w:p>
        </w:tc>
        <w:tc>
          <w:tcPr>
            <w:tcW w:w="910" w:type="dxa"/>
            <w:tcBorders>
              <w:top w:val="nil"/>
              <w:left w:val="nil"/>
              <w:bottom w:val="nil"/>
              <w:right w:val="nil"/>
            </w:tcBorders>
            <w:shd w:val="clear" w:color="auto" w:fill="auto"/>
            <w:noWrap/>
            <w:vAlign w:val="center"/>
            <w:hideMark/>
          </w:tcPr>
          <w:p w14:paraId="10EE7D05"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-87.2</w:t>
            </w:r>
          </w:p>
        </w:tc>
      </w:tr>
      <w:tr w:rsidR="004B1B2C" w:rsidRPr="00DB556E" w14:paraId="20572DED"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123F10C3"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Otros ingresos </w:t>
            </w:r>
          </w:p>
        </w:tc>
        <w:tc>
          <w:tcPr>
            <w:tcW w:w="857" w:type="dxa"/>
            <w:tcBorders>
              <w:top w:val="nil"/>
              <w:left w:val="nil"/>
              <w:bottom w:val="nil"/>
              <w:right w:val="nil"/>
            </w:tcBorders>
            <w:shd w:val="clear" w:color="auto" w:fill="auto"/>
            <w:noWrap/>
            <w:vAlign w:val="center"/>
            <w:hideMark/>
          </w:tcPr>
          <w:p w14:paraId="1872BB1F"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559.7</w:t>
            </w:r>
          </w:p>
        </w:tc>
        <w:tc>
          <w:tcPr>
            <w:tcW w:w="857" w:type="dxa"/>
            <w:tcBorders>
              <w:top w:val="nil"/>
              <w:left w:val="nil"/>
              <w:bottom w:val="nil"/>
              <w:right w:val="nil"/>
            </w:tcBorders>
            <w:shd w:val="clear" w:color="auto" w:fill="auto"/>
            <w:noWrap/>
            <w:vAlign w:val="center"/>
            <w:hideMark/>
          </w:tcPr>
          <w:p w14:paraId="0481432C"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643.4</w:t>
            </w:r>
          </w:p>
        </w:tc>
        <w:tc>
          <w:tcPr>
            <w:tcW w:w="857" w:type="dxa"/>
            <w:tcBorders>
              <w:top w:val="nil"/>
              <w:left w:val="dotDash" w:sz="4" w:space="0" w:color="auto"/>
              <w:bottom w:val="nil"/>
              <w:right w:val="nil"/>
            </w:tcBorders>
            <w:shd w:val="clear" w:color="auto" w:fill="auto"/>
            <w:noWrap/>
            <w:vAlign w:val="center"/>
            <w:hideMark/>
          </w:tcPr>
          <w:p w14:paraId="6DFA9738"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83.7</w:t>
            </w:r>
          </w:p>
        </w:tc>
        <w:tc>
          <w:tcPr>
            <w:tcW w:w="910" w:type="dxa"/>
            <w:tcBorders>
              <w:top w:val="nil"/>
              <w:left w:val="nil"/>
              <w:bottom w:val="nil"/>
              <w:right w:val="nil"/>
            </w:tcBorders>
            <w:shd w:val="clear" w:color="auto" w:fill="auto"/>
            <w:noWrap/>
            <w:vAlign w:val="center"/>
            <w:hideMark/>
          </w:tcPr>
          <w:p w14:paraId="41882DF0"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15.0</w:t>
            </w:r>
          </w:p>
        </w:tc>
      </w:tr>
      <w:tr w:rsidR="004B1B2C" w:rsidRPr="00DB556E" w14:paraId="1055DAF7"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4B89997D" w14:textId="77777777" w:rsidR="004B1B2C" w:rsidRPr="00DB556E" w:rsidRDefault="004B1B2C" w:rsidP="004B1B2C">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GASTO</w:t>
            </w:r>
          </w:p>
        </w:tc>
        <w:tc>
          <w:tcPr>
            <w:tcW w:w="857" w:type="dxa"/>
            <w:tcBorders>
              <w:top w:val="nil"/>
              <w:left w:val="nil"/>
              <w:bottom w:val="nil"/>
              <w:right w:val="nil"/>
            </w:tcBorders>
            <w:shd w:val="clear" w:color="auto" w:fill="auto"/>
            <w:noWrap/>
            <w:vAlign w:val="center"/>
            <w:hideMark/>
          </w:tcPr>
          <w:p w14:paraId="78D239AE"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17,210.7</w:t>
            </w:r>
          </w:p>
        </w:tc>
        <w:tc>
          <w:tcPr>
            <w:tcW w:w="857" w:type="dxa"/>
            <w:tcBorders>
              <w:top w:val="nil"/>
              <w:left w:val="nil"/>
              <w:bottom w:val="nil"/>
              <w:right w:val="nil"/>
            </w:tcBorders>
            <w:shd w:val="clear" w:color="auto" w:fill="auto"/>
            <w:noWrap/>
            <w:vAlign w:val="center"/>
            <w:hideMark/>
          </w:tcPr>
          <w:p w14:paraId="33FBD048"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20,277.3</w:t>
            </w:r>
          </w:p>
        </w:tc>
        <w:tc>
          <w:tcPr>
            <w:tcW w:w="857" w:type="dxa"/>
            <w:tcBorders>
              <w:top w:val="nil"/>
              <w:left w:val="dotDash" w:sz="4" w:space="0" w:color="auto"/>
              <w:bottom w:val="nil"/>
              <w:right w:val="nil"/>
            </w:tcBorders>
            <w:shd w:val="clear" w:color="auto" w:fill="auto"/>
            <w:noWrap/>
            <w:vAlign w:val="center"/>
            <w:hideMark/>
          </w:tcPr>
          <w:p w14:paraId="5E722E99"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3,066.6</w:t>
            </w:r>
          </w:p>
        </w:tc>
        <w:tc>
          <w:tcPr>
            <w:tcW w:w="910" w:type="dxa"/>
            <w:tcBorders>
              <w:top w:val="nil"/>
              <w:left w:val="nil"/>
              <w:bottom w:val="nil"/>
              <w:right w:val="nil"/>
            </w:tcBorders>
            <w:shd w:val="clear" w:color="auto" w:fill="auto"/>
            <w:noWrap/>
            <w:vAlign w:val="center"/>
            <w:hideMark/>
          </w:tcPr>
          <w:p w14:paraId="5D72989E"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17.8</w:t>
            </w:r>
          </w:p>
        </w:tc>
      </w:tr>
      <w:tr w:rsidR="004B1B2C" w:rsidRPr="00DB556E" w14:paraId="4A42FE5A"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48BDE8FB"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Remuneración a los empleados </w:t>
            </w:r>
          </w:p>
        </w:tc>
        <w:tc>
          <w:tcPr>
            <w:tcW w:w="857" w:type="dxa"/>
            <w:tcBorders>
              <w:top w:val="nil"/>
              <w:left w:val="nil"/>
              <w:bottom w:val="nil"/>
              <w:right w:val="nil"/>
            </w:tcBorders>
            <w:shd w:val="clear" w:color="auto" w:fill="auto"/>
            <w:noWrap/>
            <w:vAlign w:val="center"/>
            <w:hideMark/>
          </w:tcPr>
          <w:p w14:paraId="389FC851"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7,232.7</w:t>
            </w:r>
          </w:p>
        </w:tc>
        <w:tc>
          <w:tcPr>
            <w:tcW w:w="857" w:type="dxa"/>
            <w:tcBorders>
              <w:top w:val="nil"/>
              <w:left w:val="nil"/>
              <w:bottom w:val="nil"/>
              <w:right w:val="nil"/>
            </w:tcBorders>
            <w:shd w:val="clear" w:color="auto" w:fill="auto"/>
            <w:noWrap/>
            <w:vAlign w:val="center"/>
            <w:hideMark/>
          </w:tcPr>
          <w:p w14:paraId="64D48AD0"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7,443.4</w:t>
            </w:r>
          </w:p>
        </w:tc>
        <w:tc>
          <w:tcPr>
            <w:tcW w:w="857" w:type="dxa"/>
            <w:tcBorders>
              <w:top w:val="nil"/>
              <w:left w:val="dotDash" w:sz="4" w:space="0" w:color="auto"/>
              <w:bottom w:val="nil"/>
              <w:right w:val="nil"/>
            </w:tcBorders>
            <w:shd w:val="clear" w:color="auto" w:fill="auto"/>
            <w:noWrap/>
            <w:vAlign w:val="center"/>
            <w:hideMark/>
          </w:tcPr>
          <w:p w14:paraId="48DE4107"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210.8</w:t>
            </w:r>
          </w:p>
        </w:tc>
        <w:tc>
          <w:tcPr>
            <w:tcW w:w="910" w:type="dxa"/>
            <w:tcBorders>
              <w:top w:val="nil"/>
              <w:left w:val="nil"/>
              <w:bottom w:val="nil"/>
              <w:right w:val="nil"/>
            </w:tcBorders>
            <w:shd w:val="clear" w:color="auto" w:fill="auto"/>
            <w:noWrap/>
            <w:vAlign w:val="center"/>
            <w:hideMark/>
          </w:tcPr>
          <w:p w14:paraId="11717FDD"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2.9</w:t>
            </w:r>
          </w:p>
        </w:tc>
      </w:tr>
      <w:tr w:rsidR="004B1B2C" w:rsidRPr="00DB556E" w14:paraId="6AEA730F"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07249DF6"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Uso de bienes y servicios  </w:t>
            </w:r>
          </w:p>
        </w:tc>
        <w:tc>
          <w:tcPr>
            <w:tcW w:w="857" w:type="dxa"/>
            <w:tcBorders>
              <w:top w:val="nil"/>
              <w:left w:val="nil"/>
              <w:bottom w:val="nil"/>
              <w:right w:val="nil"/>
            </w:tcBorders>
            <w:shd w:val="clear" w:color="auto" w:fill="auto"/>
            <w:noWrap/>
            <w:vAlign w:val="center"/>
            <w:hideMark/>
          </w:tcPr>
          <w:p w14:paraId="22CCA2FC"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1,668.0</w:t>
            </w:r>
          </w:p>
        </w:tc>
        <w:tc>
          <w:tcPr>
            <w:tcW w:w="857" w:type="dxa"/>
            <w:tcBorders>
              <w:top w:val="nil"/>
              <w:left w:val="nil"/>
              <w:bottom w:val="nil"/>
              <w:right w:val="nil"/>
            </w:tcBorders>
            <w:shd w:val="clear" w:color="auto" w:fill="auto"/>
            <w:noWrap/>
            <w:vAlign w:val="center"/>
            <w:hideMark/>
          </w:tcPr>
          <w:p w14:paraId="1F95755D"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2,481.5</w:t>
            </w:r>
          </w:p>
        </w:tc>
        <w:tc>
          <w:tcPr>
            <w:tcW w:w="857" w:type="dxa"/>
            <w:tcBorders>
              <w:top w:val="nil"/>
              <w:left w:val="dotDash" w:sz="4" w:space="0" w:color="auto"/>
              <w:bottom w:val="nil"/>
              <w:right w:val="nil"/>
            </w:tcBorders>
            <w:shd w:val="clear" w:color="auto" w:fill="auto"/>
            <w:noWrap/>
            <w:vAlign w:val="center"/>
            <w:hideMark/>
          </w:tcPr>
          <w:p w14:paraId="43C44621"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813.6</w:t>
            </w:r>
          </w:p>
        </w:tc>
        <w:tc>
          <w:tcPr>
            <w:tcW w:w="910" w:type="dxa"/>
            <w:tcBorders>
              <w:top w:val="nil"/>
              <w:left w:val="nil"/>
              <w:bottom w:val="nil"/>
              <w:right w:val="nil"/>
            </w:tcBorders>
            <w:shd w:val="clear" w:color="auto" w:fill="auto"/>
            <w:noWrap/>
            <w:vAlign w:val="center"/>
            <w:hideMark/>
          </w:tcPr>
          <w:p w14:paraId="5BC3358E"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48.8</w:t>
            </w:r>
          </w:p>
        </w:tc>
      </w:tr>
      <w:tr w:rsidR="004B1B2C" w:rsidRPr="00DB556E" w14:paraId="474ED72E"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3F4CE48F"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Intereses </w:t>
            </w:r>
          </w:p>
        </w:tc>
        <w:tc>
          <w:tcPr>
            <w:tcW w:w="857" w:type="dxa"/>
            <w:tcBorders>
              <w:top w:val="nil"/>
              <w:left w:val="nil"/>
              <w:bottom w:val="nil"/>
              <w:right w:val="nil"/>
            </w:tcBorders>
            <w:shd w:val="clear" w:color="auto" w:fill="auto"/>
            <w:noWrap/>
            <w:vAlign w:val="center"/>
            <w:hideMark/>
          </w:tcPr>
          <w:p w14:paraId="03E92130"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1,811.6</w:t>
            </w:r>
          </w:p>
        </w:tc>
        <w:tc>
          <w:tcPr>
            <w:tcW w:w="857" w:type="dxa"/>
            <w:tcBorders>
              <w:top w:val="nil"/>
              <w:left w:val="nil"/>
              <w:bottom w:val="nil"/>
              <w:right w:val="nil"/>
            </w:tcBorders>
            <w:shd w:val="clear" w:color="auto" w:fill="auto"/>
            <w:noWrap/>
            <w:vAlign w:val="center"/>
            <w:hideMark/>
          </w:tcPr>
          <w:p w14:paraId="21AADCBF"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2,055.0</w:t>
            </w:r>
          </w:p>
        </w:tc>
        <w:tc>
          <w:tcPr>
            <w:tcW w:w="857" w:type="dxa"/>
            <w:tcBorders>
              <w:top w:val="nil"/>
              <w:left w:val="dotDash" w:sz="4" w:space="0" w:color="auto"/>
              <w:bottom w:val="nil"/>
              <w:right w:val="nil"/>
            </w:tcBorders>
            <w:shd w:val="clear" w:color="auto" w:fill="auto"/>
            <w:noWrap/>
            <w:vAlign w:val="center"/>
            <w:hideMark/>
          </w:tcPr>
          <w:p w14:paraId="32E3489B"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243.3</w:t>
            </w:r>
          </w:p>
        </w:tc>
        <w:tc>
          <w:tcPr>
            <w:tcW w:w="910" w:type="dxa"/>
            <w:tcBorders>
              <w:top w:val="nil"/>
              <w:left w:val="nil"/>
              <w:bottom w:val="nil"/>
              <w:right w:val="nil"/>
            </w:tcBorders>
            <w:shd w:val="clear" w:color="auto" w:fill="auto"/>
            <w:noWrap/>
            <w:vAlign w:val="center"/>
            <w:hideMark/>
          </w:tcPr>
          <w:p w14:paraId="54652525"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13.4</w:t>
            </w:r>
          </w:p>
        </w:tc>
      </w:tr>
      <w:tr w:rsidR="004B1B2C" w:rsidRPr="00DB556E" w14:paraId="29045701"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36A1D847"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Subsidios </w:t>
            </w:r>
          </w:p>
        </w:tc>
        <w:tc>
          <w:tcPr>
            <w:tcW w:w="857" w:type="dxa"/>
            <w:tcBorders>
              <w:top w:val="nil"/>
              <w:left w:val="nil"/>
              <w:bottom w:val="nil"/>
              <w:right w:val="nil"/>
            </w:tcBorders>
            <w:shd w:val="clear" w:color="auto" w:fill="auto"/>
            <w:noWrap/>
            <w:vAlign w:val="center"/>
            <w:hideMark/>
          </w:tcPr>
          <w:p w14:paraId="79F2EA17"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4.9</w:t>
            </w:r>
          </w:p>
        </w:tc>
        <w:tc>
          <w:tcPr>
            <w:tcW w:w="857" w:type="dxa"/>
            <w:tcBorders>
              <w:top w:val="nil"/>
              <w:left w:val="nil"/>
              <w:bottom w:val="nil"/>
              <w:right w:val="nil"/>
            </w:tcBorders>
            <w:shd w:val="clear" w:color="auto" w:fill="auto"/>
            <w:noWrap/>
            <w:vAlign w:val="center"/>
            <w:hideMark/>
          </w:tcPr>
          <w:p w14:paraId="770B6D70"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154.6</w:t>
            </w:r>
          </w:p>
        </w:tc>
        <w:tc>
          <w:tcPr>
            <w:tcW w:w="857" w:type="dxa"/>
            <w:tcBorders>
              <w:top w:val="nil"/>
              <w:left w:val="dotDash" w:sz="4" w:space="0" w:color="auto"/>
              <w:bottom w:val="nil"/>
              <w:right w:val="nil"/>
            </w:tcBorders>
            <w:shd w:val="clear" w:color="auto" w:fill="auto"/>
            <w:noWrap/>
            <w:vAlign w:val="center"/>
            <w:hideMark/>
          </w:tcPr>
          <w:p w14:paraId="0C724FE9"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149.8</w:t>
            </w:r>
          </w:p>
        </w:tc>
        <w:tc>
          <w:tcPr>
            <w:tcW w:w="910" w:type="dxa"/>
            <w:tcBorders>
              <w:top w:val="nil"/>
              <w:left w:val="nil"/>
              <w:bottom w:val="nil"/>
              <w:right w:val="nil"/>
            </w:tcBorders>
            <w:shd w:val="clear" w:color="auto" w:fill="auto"/>
            <w:noWrap/>
            <w:vAlign w:val="center"/>
            <w:hideMark/>
          </w:tcPr>
          <w:p w14:paraId="1870589E"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3,077.0</w:t>
            </w:r>
          </w:p>
        </w:tc>
      </w:tr>
      <w:tr w:rsidR="004B1B2C" w:rsidRPr="00DB556E" w14:paraId="5CD4B200"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268A7E48"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Donaciones </w:t>
            </w:r>
          </w:p>
        </w:tc>
        <w:tc>
          <w:tcPr>
            <w:tcW w:w="857" w:type="dxa"/>
            <w:tcBorders>
              <w:top w:val="nil"/>
              <w:left w:val="nil"/>
              <w:bottom w:val="nil"/>
              <w:right w:val="nil"/>
            </w:tcBorders>
            <w:shd w:val="clear" w:color="auto" w:fill="auto"/>
            <w:noWrap/>
            <w:vAlign w:val="center"/>
            <w:hideMark/>
          </w:tcPr>
          <w:p w14:paraId="2A1B5D7C"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4,117.2</w:t>
            </w:r>
          </w:p>
        </w:tc>
        <w:tc>
          <w:tcPr>
            <w:tcW w:w="857" w:type="dxa"/>
            <w:tcBorders>
              <w:top w:val="nil"/>
              <w:left w:val="nil"/>
              <w:bottom w:val="nil"/>
              <w:right w:val="nil"/>
            </w:tcBorders>
            <w:shd w:val="clear" w:color="auto" w:fill="auto"/>
            <w:noWrap/>
            <w:vAlign w:val="center"/>
            <w:hideMark/>
          </w:tcPr>
          <w:p w14:paraId="76DE22E7"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5,375.7</w:t>
            </w:r>
          </w:p>
        </w:tc>
        <w:tc>
          <w:tcPr>
            <w:tcW w:w="857" w:type="dxa"/>
            <w:tcBorders>
              <w:top w:val="nil"/>
              <w:left w:val="dotDash" w:sz="4" w:space="0" w:color="auto"/>
              <w:bottom w:val="nil"/>
              <w:right w:val="nil"/>
            </w:tcBorders>
            <w:shd w:val="clear" w:color="auto" w:fill="auto"/>
            <w:noWrap/>
            <w:vAlign w:val="center"/>
            <w:hideMark/>
          </w:tcPr>
          <w:p w14:paraId="42EDF559"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1,258.5</w:t>
            </w:r>
          </w:p>
        </w:tc>
        <w:tc>
          <w:tcPr>
            <w:tcW w:w="910" w:type="dxa"/>
            <w:tcBorders>
              <w:top w:val="nil"/>
              <w:left w:val="nil"/>
              <w:bottom w:val="nil"/>
              <w:right w:val="nil"/>
            </w:tcBorders>
            <w:shd w:val="clear" w:color="auto" w:fill="auto"/>
            <w:noWrap/>
            <w:vAlign w:val="center"/>
            <w:hideMark/>
          </w:tcPr>
          <w:p w14:paraId="3DEA33DE"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30.6</w:t>
            </w:r>
          </w:p>
        </w:tc>
      </w:tr>
      <w:tr w:rsidR="004B1B2C" w:rsidRPr="00DB556E" w14:paraId="63871B52"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66BD887C"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Prestaciones sociales </w:t>
            </w:r>
          </w:p>
        </w:tc>
        <w:tc>
          <w:tcPr>
            <w:tcW w:w="857" w:type="dxa"/>
            <w:tcBorders>
              <w:top w:val="nil"/>
              <w:left w:val="nil"/>
              <w:bottom w:val="nil"/>
              <w:right w:val="nil"/>
            </w:tcBorders>
            <w:shd w:val="clear" w:color="auto" w:fill="auto"/>
            <w:noWrap/>
            <w:vAlign w:val="center"/>
            <w:hideMark/>
          </w:tcPr>
          <w:p w14:paraId="1029D8C3"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1,272.7</w:t>
            </w:r>
          </w:p>
        </w:tc>
        <w:tc>
          <w:tcPr>
            <w:tcW w:w="857" w:type="dxa"/>
            <w:tcBorders>
              <w:top w:val="nil"/>
              <w:left w:val="nil"/>
              <w:bottom w:val="nil"/>
              <w:right w:val="nil"/>
            </w:tcBorders>
            <w:shd w:val="clear" w:color="auto" w:fill="auto"/>
            <w:noWrap/>
            <w:vAlign w:val="center"/>
            <w:hideMark/>
          </w:tcPr>
          <w:p w14:paraId="306D70E8"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1,349.9</w:t>
            </w:r>
          </w:p>
        </w:tc>
        <w:tc>
          <w:tcPr>
            <w:tcW w:w="857" w:type="dxa"/>
            <w:tcBorders>
              <w:top w:val="nil"/>
              <w:left w:val="dotDash" w:sz="4" w:space="0" w:color="auto"/>
              <w:bottom w:val="nil"/>
              <w:right w:val="nil"/>
            </w:tcBorders>
            <w:shd w:val="clear" w:color="auto" w:fill="auto"/>
            <w:noWrap/>
            <w:vAlign w:val="center"/>
            <w:hideMark/>
          </w:tcPr>
          <w:p w14:paraId="7191335E"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77.2</w:t>
            </w:r>
          </w:p>
        </w:tc>
        <w:tc>
          <w:tcPr>
            <w:tcW w:w="910" w:type="dxa"/>
            <w:tcBorders>
              <w:top w:val="nil"/>
              <w:left w:val="nil"/>
              <w:bottom w:val="nil"/>
              <w:right w:val="nil"/>
            </w:tcBorders>
            <w:shd w:val="clear" w:color="auto" w:fill="auto"/>
            <w:noWrap/>
            <w:vAlign w:val="center"/>
            <w:hideMark/>
          </w:tcPr>
          <w:p w14:paraId="6A6C9B1A"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6.1</w:t>
            </w:r>
          </w:p>
        </w:tc>
      </w:tr>
      <w:tr w:rsidR="004B1B2C" w:rsidRPr="00DB556E" w14:paraId="5FA65840"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513001B0" w14:textId="77777777" w:rsidR="004B1B2C" w:rsidRPr="00DB556E" w:rsidRDefault="004B1B2C" w:rsidP="004B1B2C">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 xml:space="preserve">Otros gastos </w:t>
            </w:r>
          </w:p>
        </w:tc>
        <w:tc>
          <w:tcPr>
            <w:tcW w:w="857" w:type="dxa"/>
            <w:tcBorders>
              <w:top w:val="nil"/>
              <w:left w:val="nil"/>
              <w:bottom w:val="nil"/>
              <w:right w:val="nil"/>
            </w:tcBorders>
            <w:shd w:val="clear" w:color="auto" w:fill="auto"/>
            <w:noWrap/>
            <w:vAlign w:val="center"/>
            <w:hideMark/>
          </w:tcPr>
          <w:p w14:paraId="39BDA22B"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1,103.6</w:t>
            </w:r>
          </w:p>
        </w:tc>
        <w:tc>
          <w:tcPr>
            <w:tcW w:w="857" w:type="dxa"/>
            <w:tcBorders>
              <w:top w:val="nil"/>
              <w:left w:val="nil"/>
              <w:bottom w:val="nil"/>
              <w:right w:val="nil"/>
            </w:tcBorders>
            <w:shd w:val="clear" w:color="auto" w:fill="auto"/>
            <w:noWrap/>
            <w:vAlign w:val="center"/>
            <w:hideMark/>
          </w:tcPr>
          <w:p w14:paraId="3B030E4F"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1,417.2</w:t>
            </w:r>
          </w:p>
        </w:tc>
        <w:tc>
          <w:tcPr>
            <w:tcW w:w="857" w:type="dxa"/>
            <w:tcBorders>
              <w:top w:val="nil"/>
              <w:left w:val="dotDash" w:sz="4" w:space="0" w:color="auto"/>
              <w:bottom w:val="nil"/>
              <w:right w:val="nil"/>
            </w:tcBorders>
            <w:shd w:val="clear" w:color="auto" w:fill="auto"/>
            <w:noWrap/>
            <w:vAlign w:val="center"/>
            <w:hideMark/>
          </w:tcPr>
          <w:p w14:paraId="7F48B97F"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313.5</w:t>
            </w:r>
          </w:p>
        </w:tc>
        <w:tc>
          <w:tcPr>
            <w:tcW w:w="910" w:type="dxa"/>
            <w:tcBorders>
              <w:top w:val="nil"/>
              <w:left w:val="nil"/>
              <w:bottom w:val="nil"/>
              <w:right w:val="nil"/>
            </w:tcBorders>
            <w:shd w:val="clear" w:color="auto" w:fill="auto"/>
            <w:noWrap/>
            <w:vAlign w:val="center"/>
            <w:hideMark/>
          </w:tcPr>
          <w:p w14:paraId="2401444F" w14:textId="77777777" w:rsidR="004B1B2C" w:rsidRPr="00DB556E" w:rsidRDefault="004B1B2C" w:rsidP="004B1B2C">
            <w:pPr>
              <w:jc w:val="center"/>
              <w:rPr>
                <w:rFonts w:eastAsia="Times New Roman" w:cs="Times New Roman"/>
                <w:color w:val="000000"/>
                <w:sz w:val="18"/>
                <w:szCs w:val="18"/>
                <w:lang w:eastAsia="es-GT"/>
              </w:rPr>
            </w:pPr>
            <w:r w:rsidRPr="00DB556E">
              <w:rPr>
                <w:color w:val="000000"/>
                <w:sz w:val="18"/>
                <w:szCs w:val="18"/>
              </w:rPr>
              <w:t>28.4</w:t>
            </w:r>
          </w:p>
        </w:tc>
      </w:tr>
      <w:tr w:rsidR="004B1B2C" w:rsidRPr="00DB556E" w14:paraId="0F2CC044"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0B946905" w14:textId="77777777" w:rsidR="004B1B2C" w:rsidRPr="00DB556E" w:rsidRDefault="004B1B2C" w:rsidP="004B1B2C">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Resultado Operativo Primario</w:t>
            </w:r>
          </w:p>
        </w:tc>
        <w:tc>
          <w:tcPr>
            <w:tcW w:w="857" w:type="dxa"/>
            <w:tcBorders>
              <w:top w:val="nil"/>
              <w:left w:val="nil"/>
              <w:bottom w:val="nil"/>
              <w:right w:val="nil"/>
            </w:tcBorders>
            <w:shd w:val="clear" w:color="auto" w:fill="auto"/>
            <w:noWrap/>
            <w:vAlign w:val="center"/>
            <w:hideMark/>
          </w:tcPr>
          <w:p w14:paraId="578D8928"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3,964.8</w:t>
            </w:r>
          </w:p>
        </w:tc>
        <w:tc>
          <w:tcPr>
            <w:tcW w:w="857" w:type="dxa"/>
            <w:tcBorders>
              <w:top w:val="nil"/>
              <w:left w:val="nil"/>
              <w:bottom w:val="nil"/>
              <w:right w:val="nil"/>
            </w:tcBorders>
            <w:shd w:val="clear" w:color="auto" w:fill="auto"/>
            <w:noWrap/>
            <w:vAlign w:val="center"/>
            <w:hideMark/>
          </w:tcPr>
          <w:p w14:paraId="6BD3A10A"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4,029.9</w:t>
            </w:r>
          </w:p>
        </w:tc>
        <w:tc>
          <w:tcPr>
            <w:tcW w:w="857" w:type="dxa"/>
            <w:tcBorders>
              <w:top w:val="nil"/>
              <w:left w:val="dotDash" w:sz="4" w:space="0" w:color="auto"/>
              <w:bottom w:val="nil"/>
              <w:right w:val="nil"/>
            </w:tcBorders>
            <w:shd w:val="clear" w:color="auto" w:fill="auto"/>
            <w:noWrap/>
            <w:vAlign w:val="center"/>
            <w:hideMark/>
          </w:tcPr>
          <w:p w14:paraId="30D5F0D9"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65.0</w:t>
            </w:r>
          </w:p>
        </w:tc>
        <w:tc>
          <w:tcPr>
            <w:tcW w:w="910" w:type="dxa"/>
            <w:tcBorders>
              <w:top w:val="nil"/>
              <w:left w:val="nil"/>
              <w:bottom w:val="nil"/>
              <w:right w:val="nil"/>
            </w:tcBorders>
            <w:shd w:val="clear" w:color="auto" w:fill="auto"/>
            <w:noWrap/>
            <w:vAlign w:val="center"/>
            <w:hideMark/>
          </w:tcPr>
          <w:p w14:paraId="1A85842F"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1.6</w:t>
            </w:r>
          </w:p>
        </w:tc>
      </w:tr>
      <w:tr w:rsidR="004B1B2C" w:rsidRPr="00DB556E" w14:paraId="13596449"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42D8A53A" w14:textId="77777777" w:rsidR="004B1B2C" w:rsidRPr="00DB556E" w:rsidRDefault="004B1B2C" w:rsidP="004B1B2C">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Resultado Operativo</w:t>
            </w:r>
          </w:p>
        </w:tc>
        <w:tc>
          <w:tcPr>
            <w:tcW w:w="857" w:type="dxa"/>
            <w:tcBorders>
              <w:top w:val="nil"/>
              <w:left w:val="nil"/>
              <w:bottom w:val="nil"/>
              <w:right w:val="nil"/>
            </w:tcBorders>
            <w:shd w:val="clear" w:color="auto" w:fill="auto"/>
            <w:noWrap/>
            <w:vAlign w:val="center"/>
            <w:hideMark/>
          </w:tcPr>
          <w:p w14:paraId="0C478893"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2,153.2</w:t>
            </w:r>
          </w:p>
        </w:tc>
        <w:tc>
          <w:tcPr>
            <w:tcW w:w="857" w:type="dxa"/>
            <w:tcBorders>
              <w:top w:val="nil"/>
              <w:left w:val="nil"/>
              <w:bottom w:val="nil"/>
              <w:right w:val="nil"/>
            </w:tcBorders>
            <w:shd w:val="clear" w:color="auto" w:fill="auto"/>
            <w:noWrap/>
            <w:vAlign w:val="center"/>
            <w:hideMark/>
          </w:tcPr>
          <w:p w14:paraId="2F4F3576"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1,974.9</w:t>
            </w:r>
          </w:p>
        </w:tc>
        <w:tc>
          <w:tcPr>
            <w:tcW w:w="857" w:type="dxa"/>
            <w:tcBorders>
              <w:top w:val="nil"/>
              <w:left w:val="dotDash" w:sz="4" w:space="0" w:color="auto"/>
              <w:bottom w:val="nil"/>
              <w:right w:val="nil"/>
            </w:tcBorders>
            <w:shd w:val="clear" w:color="auto" w:fill="auto"/>
            <w:noWrap/>
            <w:vAlign w:val="center"/>
            <w:hideMark/>
          </w:tcPr>
          <w:p w14:paraId="0CC2C357"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-178.3</w:t>
            </w:r>
          </w:p>
        </w:tc>
        <w:tc>
          <w:tcPr>
            <w:tcW w:w="910" w:type="dxa"/>
            <w:tcBorders>
              <w:top w:val="nil"/>
              <w:left w:val="nil"/>
              <w:bottom w:val="nil"/>
              <w:right w:val="nil"/>
            </w:tcBorders>
            <w:shd w:val="clear" w:color="auto" w:fill="auto"/>
            <w:noWrap/>
            <w:vAlign w:val="center"/>
            <w:hideMark/>
          </w:tcPr>
          <w:p w14:paraId="26CCA16C" w14:textId="77777777" w:rsidR="004B1B2C" w:rsidRPr="00DB556E" w:rsidRDefault="004B1B2C" w:rsidP="004B1B2C">
            <w:pPr>
              <w:jc w:val="center"/>
              <w:rPr>
                <w:rFonts w:eastAsia="Times New Roman" w:cs="Times New Roman"/>
                <w:b/>
                <w:bCs/>
                <w:color w:val="000000"/>
                <w:sz w:val="18"/>
                <w:szCs w:val="18"/>
                <w:lang w:eastAsia="es-GT"/>
              </w:rPr>
            </w:pPr>
            <w:r w:rsidRPr="00DB556E">
              <w:rPr>
                <w:b/>
                <w:bCs/>
                <w:color w:val="000000"/>
                <w:sz w:val="18"/>
                <w:szCs w:val="18"/>
              </w:rPr>
              <w:t>-8.3</w:t>
            </w:r>
          </w:p>
        </w:tc>
      </w:tr>
      <w:tr w:rsidR="00D145A4" w:rsidRPr="00DB556E" w14:paraId="403B4C1A" w14:textId="77777777" w:rsidTr="00D145A4">
        <w:trPr>
          <w:trHeight w:val="277"/>
          <w:jc w:val="center"/>
        </w:trPr>
        <w:tc>
          <w:tcPr>
            <w:tcW w:w="6574" w:type="dxa"/>
            <w:gridSpan w:val="5"/>
            <w:tcBorders>
              <w:top w:val="single" w:sz="8" w:space="0" w:color="auto"/>
              <w:left w:val="nil"/>
              <w:bottom w:val="double" w:sz="6" w:space="0" w:color="auto"/>
              <w:right w:val="nil"/>
            </w:tcBorders>
            <w:shd w:val="clear" w:color="auto" w:fill="auto"/>
            <w:noWrap/>
            <w:vAlign w:val="center"/>
            <w:hideMark/>
          </w:tcPr>
          <w:p w14:paraId="6768F2E6" w14:textId="77777777" w:rsidR="00D145A4" w:rsidRPr="00DB556E" w:rsidRDefault="00D145A4" w:rsidP="00D145A4">
            <w:pPr>
              <w:rPr>
                <w:rFonts w:eastAsia="Times New Roman" w:cs="Times New Roman"/>
                <w:b/>
                <w:bCs/>
                <w:color w:val="4472C4"/>
                <w:sz w:val="18"/>
                <w:szCs w:val="18"/>
                <w:lang w:eastAsia="es-GT"/>
              </w:rPr>
            </w:pPr>
            <w:r w:rsidRPr="00DB556E">
              <w:rPr>
                <w:rFonts w:eastAsia="Times New Roman" w:cs="Times New Roman"/>
                <w:b/>
                <w:bCs/>
                <w:color w:val="4472C4"/>
                <w:sz w:val="18"/>
                <w:szCs w:val="18"/>
                <w:lang w:eastAsia="es-GT"/>
              </w:rPr>
              <w:t>TRANSACCIONES EN ACTIVOS NO FINANCIEROS</w:t>
            </w:r>
          </w:p>
        </w:tc>
      </w:tr>
      <w:tr w:rsidR="00867ED8" w:rsidRPr="00DB556E" w14:paraId="2070074C" w14:textId="77777777" w:rsidTr="00D145A4">
        <w:trPr>
          <w:trHeight w:val="277"/>
          <w:jc w:val="center"/>
        </w:trPr>
        <w:tc>
          <w:tcPr>
            <w:tcW w:w="3093" w:type="dxa"/>
            <w:tcBorders>
              <w:top w:val="nil"/>
              <w:left w:val="nil"/>
              <w:bottom w:val="nil"/>
              <w:right w:val="nil"/>
            </w:tcBorders>
            <w:shd w:val="clear" w:color="auto" w:fill="auto"/>
            <w:noWrap/>
            <w:vAlign w:val="center"/>
            <w:hideMark/>
          </w:tcPr>
          <w:p w14:paraId="3DE36686" w14:textId="77777777" w:rsidR="00867ED8" w:rsidRPr="00DB556E" w:rsidRDefault="00867ED8" w:rsidP="00867ED8">
            <w:pPr>
              <w:rPr>
                <w:rFonts w:eastAsia="Times New Roman" w:cs="Times New Roman"/>
                <w:color w:val="000000"/>
                <w:sz w:val="18"/>
                <w:szCs w:val="18"/>
                <w:lang w:eastAsia="es-GT"/>
              </w:rPr>
            </w:pPr>
            <w:r w:rsidRPr="00DB556E">
              <w:rPr>
                <w:rFonts w:eastAsia="Times New Roman" w:cs="Times New Roman"/>
                <w:color w:val="000000"/>
                <w:sz w:val="18"/>
                <w:szCs w:val="18"/>
                <w:lang w:eastAsia="es-GT"/>
              </w:rPr>
              <w:t>Inversión bruta en activos no financieros</w:t>
            </w:r>
          </w:p>
        </w:tc>
        <w:tc>
          <w:tcPr>
            <w:tcW w:w="857" w:type="dxa"/>
            <w:tcBorders>
              <w:top w:val="nil"/>
              <w:left w:val="nil"/>
              <w:bottom w:val="nil"/>
              <w:right w:val="nil"/>
            </w:tcBorders>
            <w:shd w:val="clear" w:color="auto" w:fill="auto"/>
            <w:noWrap/>
            <w:vAlign w:val="center"/>
            <w:hideMark/>
          </w:tcPr>
          <w:p w14:paraId="57E0FDCB"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485.7</w:t>
            </w:r>
          </w:p>
        </w:tc>
        <w:tc>
          <w:tcPr>
            <w:tcW w:w="857" w:type="dxa"/>
            <w:tcBorders>
              <w:top w:val="nil"/>
              <w:left w:val="nil"/>
              <w:bottom w:val="nil"/>
              <w:right w:val="nil"/>
            </w:tcBorders>
            <w:shd w:val="clear" w:color="auto" w:fill="auto"/>
            <w:noWrap/>
            <w:vAlign w:val="center"/>
            <w:hideMark/>
          </w:tcPr>
          <w:p w14:paraId="6D7529CA"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806.9</w:t>
            </w:r>
          </w:p>
        </w:tc>
        <w:tc>
          <w:tcPr>
            <w:tcW w:w="857" w:type="dxa"/>
            <w:tcBorders>
              <w:top w:val="nil"/>
              <w:left w:val="dotDash" w:sz="4" w:space="0" w:color="auto"/>
              <w:bottom w:val="nil"/>
              <w:right w:val="nil"/>
            </w:tcBorders>
            <w:shd w:val="clear" w:color="auto" w:fill="auto"/>
            <w:noWrap/>
            <w:vAlign w:val="center"/>
            <w:hideMark/>
          </w:tcPr>
          <w:p w14:paraId="42D10A71"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321.2</w:t>
            </w:r>
          </w:p>
        </w:tc>
        <w:tc>
          <w:tcPr>
            <w:tcW w:w="910" w:type="dxa"/>
            <w:tcBorders>
              <w:top w:val="nil"/>
              <w:left w:val="nil"/>
              <w:bottom w:val="nil"/>
              <w:right w:val="nil"/>
            </w:tcBorders>
            <w:shd w:val="clear" w:color="auto" w:fill="auto"/>
            <w:noWrap/>
            <w:vAlign w:val="center"/>
            <w:hideMark/>
          </w:tcPr>
          <w:p w14:paraId="688A65CB"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66.1</w:t>
            </w:r>
          </w:p>
        </w:tc>
      </w:tr>
      <w:tr w:rsidR="00867ED8" w:rsidRPr="00DB556E" w14:paraId="1863C93B"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04D4AD54" w14:textId="77777777" w:rsidR="00867ED8" w:rsidRPr="00DB556E" w:rsidRDefault="00867ED8" w:rsidP="00867ED8">
            <w:pPr>
              <w:rPr>
                <w:rFonts w:eastAsia="Times New Roman" w:cs="Times New Roman"/>
                <w:color w:val="000000"/>
                <w:sz w:val="18"/>
                <w:szCs w:val="18"/>
                <w:lang w:eastAsia="es-GT"/>
              </w:rPr>
            </w:pPr>
            <w:r w:rsidRPr="00DB556E">
              <w:rPr>
                <w:rFonts w:eastAsia="Times New Roman" w:cs="Times New Roman"/>
                <w:color w:val="000000"/>
                <w:sz w:val="18"/>
                <w:szCs w:val="18"/>
                <w:lang w:eastAsia="es-GT"/>
              </w:rPr>
              <w:t>Erogación</w:t>
            </w:r>
          </w:p>
        </w:tc>
        <w:tc>
          <w:tcPr>
            <w:tcW w:w="857" w:type="dxa"/>
            <w:tcBorders>
              <w:top w:val="nil"/>
              <w:left w:val="nil"/>
              <w:bottom w:val="nil"/>
              <w:right w:val="nil"/>
            </w:tcBorders>
            <w:shd w:val="clear" w:color="auto" w:fill="auto"/>
            <w:noWrap/>
            <w:vAlign w:val="center"/>
            <w:hideMark/>
          </w:tcPr>
          <w:p w14:paraId="6E0A2443"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17,696.4</w:t>
            </w:r>
          </w:p>
        </w:tc>
        <w:tc>
          <w:tcPr>
            <w:tcW w:w="857" w:type="dxa"/>
            <w:tcBorders>
              <w:top w:val="nil"/>
              <w:left w:val="nil"/>
              <w:bottom w:val="nil"/>
              <w:right w:val="nil"/>
            </w:tcBorders>
            <w:shd w:val="clear" w:color="auto" w:fill="auto"/>
            <w:noWrap/>
            <w:vAlign w:val="center"/>
            <w:hideMark/>
          </w:tcPr>
          <w:p w14:paraId="161E19C0"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21,084.2</w:t>
            </w:r>
          </w:p>
        </w:tc>
        <w:tc>
          <w:tcPr>
            <w:tcW w:w="857" w:type="dxa"/>
            <w:tcBorders>
              <w:top w:val="nil"/>
              <w:left w:val="dotDash" w:sz="4" w:space="0" w:color="auto"/>
              <w:bottom w:val="nil"/>
              <w:right w:val="nil"/>
            </w:tcBorders>
            <w:shd w:val="clear" w:color="auto" w:fill="auto"/>
            <w:noWrap/>
            <w:vAlign w:val="center"/>
            <w:hideMark/>
          </w:tcPr>
          <w:p w14:paraId="1BCE9486"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3,387.8</w:t>
            </w:r>
          </w:p>
        </w:tc>
        <w:tc>
          <w:tcPr>
            <w:tcW w:w="910" w:type="dxa"/>
            <w:tcBorders>
              <w:top w:val="nil"/>
              <w:left w:val="nil"/>
              <w:bottom w:val="nil"/>
              <w:right w:val="nil"/>
            </w:tcBorders>
            <w:shd w:val="clear" w:color="auto" w:fill="auto"/>
            <w:noWrap/>
            <w:vAlign w:val="center"/>
            <w:hideMark/>
          </w:tcPr>
          <w:p w14:paraId="5F248DE1"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19.1</w:t>
            </w:r>
          </w:p>
        </w:tc>
      </w:tr>
      <w:tr w:rsidR="00867ED8" w:rsidRPr="00DB556E" w14:paraId="06284193"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472BA3C4" w14:textId="77777777" w:rsidR="00867ED8" w:rsidRPr="00DB556E" w:rsidRDefault="00867ED8" w:rsidP="00867ED8">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Resultado Primario</w:t>
            </w:r>
          </w:p>
        </w:tc>
        <w:tc>
          <w:tcPr>
            <w:tcW w:w="857" w:type="dxa"/>
            <w:tcBorders>
              <w:top w:val="nil"/>
              <w:left w:val="nil"/>
              <w:bottom w:val="nil"/>
              <w:right w:val="nil"/>
            </w:tcBorders>
            <w:shd w:val="clear" w:color="auto" w:fill="auto"/>
            <w:noWrap/>
            <w:vAlign w:val="center"/>
            <w:hideMark/>
          </w:tcPr>
          <w:p w14:paraId="70366D0B"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3,479.1</w:t>
            </w:r>
          </w:p>
        </w:tc>
        <w:tc>
          <w:tcPr>
            <w:tcW w:w="857" w:type="dxa"/>
            <w:tcBorders>
              <w:top w:val="nil"/>
              <w:left w:val="nil"/>
              <w:bottom w:val="nil"/>
              <w:right w:val="nil"/>
            </w:tcBorders>
            <w:shd w:val="clear" w:color="auto" w:fill="auto"/>
            <w:noWrap/>
            <w:vAlign w:val="center"/>
            <w:hideMark/>
          </w:tcPr>
          <w:p w14:paraId="73022CD7"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3,223.0</w:t>
            </w:r>
          </w:p>
        </w:tc>
        <w:tc>
          <w:tcPr>
            <w:tcW w:w="857" w:type="dxa"/>
            <w:tcBorders>
              <w:top w:val="nil"/>
              <w:left w:val="dotDash" w:sz="4" w:space="0" w:color="auto"/>
              <w:bottom w:val="nil"/>
              <w:right w:val="nil"/>
            </w:tcBorders>
            <w:shd w:val="clear" w:color="auto" w:fill="auto"/>
            <w:noWrap/>
            <w:vAlign w:val="center"/>
            <w:hideMark/>
          </w:tcPr>
          <w:p w14:paraId="357F1909"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-256.2</w:t>
            </w:r>
          </w:p>
        </w:tc>
        <w:tc>
          <w:tcPr>
            <w:tcW w:w="910" w:type="dxa"/>
            <w:tcBorders>
              <w:top w:val="nil"/>
              <w:left w:val="nil"/>
              <w:bottom w:val="nil"/>
              <w:right w:val="nil"/>
            </w:tcBorders>
            <w:shd w:val="clear" w:color="auto" w:fill="auto"/>
            <w:noWrap/>
            <w:vAlign w:val="center"/>
            <w:hideMark/>
          </w:tcPr>
          <w:p w14:paraId="67F03B85"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-7.4</w:t>
            </w:r>
          </w:p>
        </w:tc>
      </w:tr>
      <w:tr w:rsidR="00867ED8" w:rsidRPr="00DB556E" w14:paraId="4E9D4C1F"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5168593A" w14:textId="77777777" w:rsidR="00867ED8" w:rsidRPr="00DB556E" w:rsidRDefault="00867ED8" w:rsidP="00867ED8">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Préstamo (+) / endeudamiento (-)</w:t>
            </w:r>
          </w:p>
        </w:tc>
        <w:tc>
          <w:tcPr>
            <w:tcW w:w="857" w:type="dxa"/>
            <w:tcBorders>
              <w:top w:val="nil"/>
              <w:left w:val="nil"/>
              <w:bottom w:val="nil"/>
              <w:right w:val="nil"/>
            </w:tcBorders>
            <w:shd w:val="clear" w:color="auto" w:fill="auto"/>
            <w:noWrap/>
            <w:vAlign w:val="center"/>
            <w:hideMark/>
          </w:tcPr>
          <w:p w14:paraId="2B33E215"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1,667.5</w:t>
            </w:r>
          </w:p>
        </w:tc>
        <w:tc>
          <w:tcPr>
            <w:tcW w:w="857" w:type="dxa"/>
            <w:tcBorders>
              <w:top w:val="nil"/>
              <w:left w:val="nil"/>
              <w:bottom w:val="nil"/>
              <w:right w:val="nil"/>
            </w:tcBorders>
            <w:shd w:val="clear" w:color="auto" w:fill="auto"/>
            <w:noWrap/>
            <w:vAlign w:val="center"/>
            <w:hideMark/>
          </w:tcPr>
          <w:p w14:paraId="00751B92"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1,168.0</w:t>
            </w:r>
          </w:p>
        </w:tc>
        <w:tc>
          <w:tcPr>
            <w:tcW w:w="857" w:type="dxa"/>
            <w:tcBorders>
              <w:top w:val="nil"/>
              <w:left w:val="dotDash" w:sz="4" w:space="0" w:color="auto"/>
              <w:bottom w:val="nil"/>
              <w:right w:val="nil"/>
            </w:tcBorders>
            <w:shd w:val="clear" w:color="auto" w:fill="auto"/>
            <w:noWrap/>
            <w:vAlign w:val="center"/>
            <w:hideMark/>
          </w:tcPr>
          <w:p w14:paraId="27AF5EA5"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-499.5</w:t>
            </w:r>
          </w:p>
        </w:tc>
        <w:tc>
          <w:tcPr>
            <w:tcW w:w="910" w:type="dxa"/>
            <w:tcBorders>
              <w:top w:val="nil"/>
              <w:left w:val="nil"/>
              <w:bottom w:val="nil"/>
              <w:right w:val="nil"/>
            </w:tcBorders>
            <w:shd w:val="clear" w:color="auto" w:fill="auto"/>
            <w:noWrap/>
            <w:vAlign w:val="center"/>
            <w:hideMark/>
          </w:tcPr>
          <w:p w14:paraId="0DCEB909"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-30.0</w:t>
            </w:r>
          </w:p>
        </w:tc>
      </w:tr>
      <w:tr w:rsidR="00D145A4" w:rsidRPr="00DB556E" w14:paraId="1A7078BC" w14:textId="77777777" w:rsidTr="00D145A4">
        <w:trPr>
          <w:trHeight w:val="277"/>
          <w:jc w:val="center"/>
        </w:trPr>
        <w:tc>
          <w:tcPr>
            <w:tcW w:w="6574" w:type="dxa"/>
            <w:gridSpan w:val="5"/>
            <w:tcBorders>
              <w:top w:val="single" w:sz="8" w:space="0" w:color="auto"/>
              <w:left w:val="nil"/>
              <w:bottom w:val="double" w:sz="6" w:space="0" w:color="auto"/>
              <w:right w:val="nil"/>
            </w:tcBorders>
            <w:shd w:val="clear" w:color="auto" w:fill="auto"/>
            <w:noWrap/>
            <w:vAlign w:val="center"/>
            <w:hideMark/>
          </w:tcPr>
          <w:p w14:paraId="037E2C27" w14:textId="77777777" w:rsidR="00D145A4" w:rsidRPr="00DB556E" w:rsidRDefault="00D145A4" w:rsidP="00D145A4">
            <w:pPr>
              <w:rPr>
                <w:rFonts w:eastAsia="Times New Roman" w:cs="Times New Roman"/>
                <w:b/>
                <w:bCs/>
                <w:color w:val="4472C4"/>
                <w:sz w:val="18"/>
                <w:szCs w:val="18"/>
                <w:lang w:eastAsia="es-GT"/>
              </w:rPr>
            </w:pPr>
            <w:r w:rsidRPr="00DB556E">
              <w:rPr>
                <w:rFonts w:eastAsia="Times New Roman" w:cs="Times New Roman"/>
                <w:b/>
                <w:bCs/>
                <w:color w:val="4472C4"/>
                <w:sz w:val="18"/>
                <w:szCs w:val="18"/>
                <w:lang w:eastAsia="es-GT"/>
              </w:rPr>
              <w:t>TRANSACCIONES EN ACTIVOS Y PASIVOS FINANCIEROS (FINANCIMIENTO)</w:t>
            </w:r>
          </w:p>
        </w:tc>
      </w:tr>
      <w:tr w:rsidR="00867ED8" w:rsidRPr="00DB556E" w14:paraId="769DF89E" w14:textId="77777777" w:rsidTr="00D145A4">
        <w:trPr>
          <w:trHeight w:val="277"/>
          <w:jc w:val="center"/>
        </w:trPr>
        <w:tc>
          <w:tcPr>
            <w:tcW w:w="3093" w:type="dxa"/>
            <w:tcBorders>
              <w:top w:val="nil"/>
              <w:left w:val="nil"/>
              <w:bottom w:val="nil"/>
              <w:right w:val="nil"/>
            </w:tcBorders>
            <w:shd w:val="clear" w:color="auto" w:fill="auto"/>
            <w:noWrap/>
            <w:vAlign w:val="center"/>
            <w:hideMark/>
          </w:tcPr>
          <w:p w14:paraId="67D49059" w14:textId="77777777" w:rsidR="00867ED8" w:rsidRPr="00DB556E" w:rsidRDefault="00867ED8" w:rsidP="00867ED8">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Adquisición neta de activos financieros</w:t>
            </w:r>
          </w:p>
        </w:tc>
        <w:tc>
          <w:tcPr>
            <w:tcW w:w="857" w:type="dxa"/>
            <w:tcBorders>
              <w:top w:val="nil"/>
              <w:left w:val="nil"/>
              <w:bottom w:val="nil"/>
              <w:right w:val="nil"/>
            </w:tcBorders>
            <w:shd w:val="clear" w:color="auto" w:fill="auto"/>
            <w:noWrap/>
            <w:vAlign w:val="center"/>
            <w:hideMark/>
          </w:tcPr>
          <w:p w14:paraId="60B28E2E"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4,637.0</w:t>
            </w:r>
          </w:p>
        </w:tc>
        <w:tc>
          <w:tcPr>
            <w:tcW w:w="857" w:type="dxa"/>
            <w:tcBorders>
              <w:top w:val="nil"/>
              <w:left w:val="nil"/>
              <w:bottom w:val="nil"/>
              <w:right w:val="nil"/>
            </w:tcBorders>
            <w:shd w:val="clear" w:color="auto" w:fill="auto"/>
            <w:noWrap/>
            <w:vAlign w:val="center"/>
            <w:hideMark/>
          </w:tcPr>
          <w:p w14:paraId="3D057179"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2,522.2</w:t>
            </w:r>
          </w:p>
        </w:tc>
        <w:tc>
          <w:tcPr>
            <w:tcW w:w="857" w:type="dxa"/>
            <w:tcBorders>
              <w:top w:val="nil"/>
              <w:left w:val="dotDash" w:sz="4" w:space="0" w:color="auto"/>
              <w:bottom w:val="nil"/>
              <w:right w:val="nil"/>
            </w:tcBorders>
            <w:shd w:val="clear" w:color="auto" w:fill="auto"/>
            <w:noWrap/>
            <w:vAlign w:val="center"/>
            <w:hideMark/>
          </w:tcPr>
          <w:p w14:paraId="14DF04FA"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-2,114.8</w:t>
            </w:r>
          </w:p>
        </w:tc>
        <w:tc>
          <w:tcPr>
            <w:tcW w:w="910" w:type="dxa"/>
            <w:tcBorders>
              <w:top w:val="nil"/>
              <w:left w:val="nil"/>
              <w:bottom w:val="nil"/>
              <w:right w:val="nil"/>
            </w:tcBorders>
            <w:shd w:val="clear" w:color="auto" w:fill="auto"/>
            <w:noWrap/>
            <w:vAlign w:val="center"/>
            <w:hideMark/>
          </w:tcPr>
          <w:p w14:paraId="4ACEB260"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-45.6</w:t>
            </w:r>
          </w:p>
        </w:tc>
      </w:tr>
      <w:tr w:rsidR="00867ED8" w:rsidRPr="00DB556E" w14:paraId="2CC67C8D"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2557CD3F" w14:textId="77777777" w:rsidR="00867ED8" w:rsidRPr="00DB556E" w:rsidRDefault="00867ED8" w:rsidP="00867ED8">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Billetes monedas y depósitos</w:t>
            </w:r>
          </w:p>
        </w:tc>
        <w:tc>
          <w:tcPr>
            <w:tcW w:w="857" w:type="dxa"/>
            <w:tcBorders>
              <w:top w:val="nil"/>
              <w:left w:val="nil"/>
              <w:bottom w:val="nil"/>
              <w:right w:val="nil"/>
            </w:tcBorders>
            <w:shd w:val="clear" w:color="auto" w:fill="auto"/>
            <w:noWrap/>
            <w:vAlign w:val="center"/>
            <w:hideMark/>
          </w:tcPr>
          <w:p w14:paraId="3469A980"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4,662.7</w:t>
            </w:r>
          </w:p>
        </w:tc>
        <w:tc>
          <w:tcPr>
            <w:tcW w:w="857" w:type="dxa"/>
            <w:tcBorders>
              <w:top w:val="nil"/>
              <w:left w:val="nil"/>
              <w:bottom w:val="nil"/>
              <w:right w:val="nil"/>
            </w:tcBorders>
            <w:shd w:val="clear" w:color="auto" w:fill="auto"/>
            <w:noWrap/>
            <w:vAlign w:val="center"/>
            <w:hideMark/>
          </w:tcPr>
          <w:p w14:paraId="54987581"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2,535.6</w:t>
            </w:r>
          </w:p>
        </w:tc>
        <w:tc>
          <w:tcPr>
            <w:tcW w:w="857" w:type="dxa"/>
            <w:tcBorders>
              <w:top w:val="nil"/>
              <w:left w:val="dotDash" w:sz="4" w:space="0" w:color="auto"/>
              <w:bottom w:val="nil"/>
              <w:right w:val="nil"/>
            </w:tcBorders>
            <w:shd w:val="clear" w:color="auto" w:fill="auto"/>
            <w:noWrap/>
            <w:vAlign w:val="center"/>
            <w:hideMark/>
          </w:tcPr>
          <w:p w14:paraId="77E0C62D"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-2,127.2</w:t>
            </w:r>
          </w:p>
        </w:tc>
        <w:tc>
          <w:tcPr>
            <w:tcW w:w="910" w:type="dxa"/>
            <w:tcBorders>
              <w:top w:val="nil"/>
              <w:left w:val="nil"/>
              <w:bottom w:val="nil"/>
              <w:right w:val="nil"/>
            </w:tcBorders>
            <w:shd w:val="clear" w:color="auto" w:fill="auto"/>
            <w:noWrap/>
            <w:vAlign w:val="center"/>
            <w:hideMark/>
          </w:tcPr>
          <w:p w14:paraId="051FB745"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-45.6</w:t>
            </w:r>
          </w:p>
        </w:tc>
      </w:tr>
      <w:tr w:rsidR="00867ED8" w:rsidRPr="00DB556E" w14:paraId="4B33F06F"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55A506B0" w14:textId="77777777" w:rsidR="00867ED8" w:rsidRPr="00DB556E" w:rsidRDefault="00867ED8" w:rsidP="00867ED8">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Préstamos</w:t>
            </w:r>
          </w:p>
        </w:tc>
        <w:tc>
          <w:tcPr>
            <w:tcW w:w="857" w:type="dxa"/>
            <w:tcBorders>
              <w:top w:val="nil"/>
              <w:left w:val="nil"/>
              <w:bottom w:val="nil"/>
              <w:right w:val="nil"/>
            </w:tcBorders>
            <w:shd w:val="clear" w:color="auto" w:fill="auto"/>
            <w:noWrap/>
            <w:vAlign w:val="center"/>
            <w:hideMark/>
          </w:tcPr>
          <w:p w14:paraId="36FE6322"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-25.7</w:t>
            </w:r>
          </w:p>
        </w:tc>
        <w:tc>
          <w:tcPr>
            <w:tcW w:w="857" w:type="dxa"/>
            <w:tcBorders>
              <w:top w:val="nil"/>
              <w:left w:val="nil"/>
              <w:bottom w:val="nil"/>
              <w:right w:val="nil"/>
            </w:tcBorders>
            <w:shd w:val="clear" w:color="auto" w:fill="auto"/>
            <w:noWrap/>
            <w:vAlign w:val="center"/>
            <w:hideMark/>
          </w:tcPr>
          <w:p w14:paraId="582DD6FB"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-13.3</w:t>
            </w:r>
          </w:p>
        </w:tc>
        <w:tc>
          <w:tcPr>
            <w:tcW w:w="857" w:type="dxa"/>
            <w:tcBorders>
              <w:top w:val="nil"/>
              <w:left w:val="dotDash" w:sz="4" w:space="0" w:color="auto"/>
              <w:bottom w:val="nil"/>
              <w:right w:val="nil"/>
            </w:tcBorders>
            <w:shd w:val="clear" w:color="auto" w:fill="auto"/>
            <w:noWrap/>
            <w:vAlign w:val="center"/>
            <w:hideMark/>
          </w:tcPr>
          <w:p w14:paraId="719D4DE5"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12.4</w:t>
            </w:r>
          </w:p>
        </w:tc>
        <w:tc>
          <w:tcPr>
            <w:tcW w:w="910" w:type="dxa"/>
            <w:tcBorders>
              <w:top w:val="nil"/>
              <w:left w:val="nil"/>
              <w:bottom w:val="nil"/>
              <w:right w:val="nil"/>
            </w:tcBorders>
            <w:shd w:val="clear" w:color="auto" w:fill="auto"/>
            <w:noWrap/>
            <w:vAlign w:val="center"/>
            <w:hideMark/>
          </w:tcPr>
          <w:p w14:paraId="3AC24DEA"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-48.1</w:t>
            </w:r>
          </w:p>
        </w:tc>
      </w:tr>
      <w:tr w:rsidR="00867ED8" w:rsidRPr="00DB556E" w14:paraId="3E629255"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229BB7C7" w14:textId="77777777" w:rsidR="00867ED8" w:rsidRPr="00DB556E" w:rsidRDefault="00867ED8" w:rsidP="00867ED8">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Otros</w:t>
            </w:r>
          </w:p>
        </w:tc>
        <w:tc>
          <w:tcPr>
            <w:tcW w:w="857" w:type="dxa"/>
            <w:tcBorders>
              <w:top w:val="nil"/>
              <w:left w:val="nil"/>
              <w:bottom w:val="nil"/>
              <w:right w:val="nil"/>
            </w:tcBorders>
            <w:shd w:val="clear" w:color="auto" w:fill="auto"/>
            <w:noWrap/>
            <w:vAlign w:val="center"/>
            <w:hideMark/>
          </w:tcPr>
          <w:p w14:paraId="4AE624E2"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0.0</w:t>
            </w:r>
          </w:p>
        </w:tc>
        <w:tc>
          <w:tcPr>
            <w:tcW w:w="857" w:type="dxa"/>
            <w:tcBorders>
              <w:top w:val="nil"/>
              <w:left w:val="nil"/>
              <w:bottom w:val="nil"/>
              <w:right w:val="nil"/>
            </w:tcBorders>
            <w:shd w:val="clear" w:color="auto" w:fill="auto"/>
            <w:noWrap/>
            <w:vAlign w:val="center"/>
            <w:hideMark/>
          </w:tcPr>
          <w:p w14:paraId="7A21D8E6"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0.0</w:t>
            </w:r>
          </w:p>
        </w:tc>
        <w:tc>
          <w:tcPr>
            <w:tcW w:w="857" w:type="dxa"/>
            <w:tcBorders>
              <w:top w:val="nil"/>
              <w:left w:val="dotDash" w:sz="4" w:space="0" w:color="auto"/>
              <w:bottom w:val="nil"/>
              <w:right w:val="nil"/>
            </w:tcBorders>
            <w:shd w:val="clear" w:color="auto" w:fill="auto"/>
            <w:noWrap/>
            <w:vAlign w:val="center"/>
            <w:hideMark/>
          </w:tcPr>
          <w:p w14:paraId="7F8AF7D8"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0.0</w:t>
            </w:r>
          </w:p>
        </w:tc>
        <w:tc>
          <w:tcPr>
            <w:tcW w:w="910" w:type="dxa"/>
            <w:tcBorders>
              <w:top w:val="nil"/>
              <w:left w:val="nil"/>
              <w:bottom w:val="nil"/>
              <w:right w:val="nil"/>
            </w:tcBorders>
            <w:shd w:val="clear" w:color="auto" w:fill="auto"/>
            <w:noWrap/>
            <w:vAlign w:val="center"/>
            <w:hideMark/>
          </w:tcPr>
          <w:p w14:paraId="11532942"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0.0</w:t>
            </w:r>
          </w:p>
        </w:tc>
      </w:tr>
      <w:tr w:rsidR="00867ED8" w:rsidRPr="00DB556E" w14:paraId="447E9CAD"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66949A0C" w14:textId="77777777" w:rsidR="00867ED8" w:rsidRPr="00DB556E" w:rsidRDefault="00867ED8" w:rsidP="00867ED8">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Incurrimiento neto de pasivos</w:t>
            </w:r>
          </w:p>
        </w:tc>
        <w:tc>
          <w:tcPr>
            <w:tcW w:w="857" w:type="dxa"/>
            <w:tcBorders>
              <w:top w:val="nil"/>
              <w:left w:val="nil"/>
              <w:bottom w:val="nil"/>
              <w:right w:val="nil"/>
            </w:tcBorders>
            <w:shd w:val="clear" w:color="auto" w:fill="auto"/>
            <w:noWrap/>
            <w:vAlign w:val="center"/>
            <w:hideMark/>
          </w:tcPr>
          <w:p w14:paraId="6DE6B006"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5,244.4</w:t>
            </w:r>
          </w:p>
        </w:tc>
        <w:tc>
          <w:tcPr>
            <w:tcW w:w="857" w:type="dxa"/>
            <w:tcBorders>
              <w:top w:val="nil"/>
              <w:left w:val="nil"/>
              <w:bottom w:val="nil"/>
              <w:right w:val="nil"/>
            </w:tcBorders>
            <w:shd w:val="clear" w:color="auto" w:fill="auto"/>
            <w:noWrap/>
            <w:vAlign w:val="center"/>
            <w:hideMark/>
          </w:tcPr>
          <w:p w14:paraId="45FBC513"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2,432.5</w:t>
            </w:r>
          </w:p>
        </w:tc>
        <w:tc>
          <w:tcPr>
            <w:tcW w:w="857" w:type="dxa"/>
            <w:tcBorders>
              <w:top w:val="nil"/>
              <w:left w:val="dotDash" w:sz="4" w:space="0" w:color="auto"/>
              <w:bottom w:val="nil"/>
              <w:right w:val="nil"/>
            </w:tcBorders>
            <w:shd w:val="clear" w:color="auto" w:fill="auto"/>
            <w:noWrap/>
            <w:vAlign w:val="center"/>
            <w:hideMark/>
          </w:tcPr>
          <w:p w14:paraId="66C43D25"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-2,811.9</w:t>
            </w:r>
          </w:p>
        </w:tc>
        <w:tc>
          <w:tcPr>
            <w:tcW w:w="910" w:type="dxa"/>
            <w:tcBorders>
              <w:top w:val="nil"/>
              <w:left w:val="nil"/>
              <w:bottom w:val="nil"/>
              <w:right w:val="nil"/>
            </w:tcBorders>
            <w:shd w:val="clear" w:color="auto" w:fill="auto"/>
            <w:noWrap/>
            <w:vAlign w:val="center"/>
            <w:hideMark/>
          </w:tcPr>
          <w:p w14:paraId="116AAD14"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-53.6</w:t>
            </w:r>
          </w:p>
        </w:tc>
      </w:tr>
      <w:tr w:rsidR="00867ED8" w:rsidRPr="00DB556E" w14:paraId="57C0B0B5"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484D6C78" w14:textId="77777777" w:rsidR="00867ED8" w:rsidRPr="00DB556E" w:rsidRDefault="00867ED8" w:rsidP="00867ED8">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Títulos de deuda</w:t>
            </w:r>
          </w:p>
        </w:tc>
        <w:tc>
          <w:tcPr>
            <w:tcW w:w="857" w:type="dxa"/>
            <w:tcBorders>
              <w:top w:val="nil"/>
              <w:left w:val="nil"/>
              <w:bottom w:val="nil"/>
              <w:right w:val="nil"/>
            </w:tcBorders>
            <w:shd w:val="clear" w:color="auto" w:fill="auto"/>
            <w:noWrap/>
            <w:vAlign w:val="center"/>
            <w:hideMark/>
          </w:tcPr>
          <w:p w14:paraId="5D470658"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6,768.3</w:t>
            </w:r>
          </w:p>
        </w:tc>
        <w:tc>
          <w:tcPr>
            <w:tcW w:w="857" w:type="dxa"/>
            <w:tcBorders>
              <w:top w:val="nil"/>
              <w:left w:val="nil"/>
              <w:bottom w:val="nil"/>
              <w:right w:val="nil"/>
            </w:tcBorders>
            <w:shd w:val="clear" w:color="auto" w:fill="auto"/>
            <w:noWrap/>
            <w:vAlign w:val="center"/>
            <w:hideMark/>
          </w:tcPr>
          <w:p w14:paraId="08CB3424"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3,377.7</w:t>
            </w:r>
          </w:p>
        </w:tc>
        <w:tc>
          <w:tcPr>
            <w:tcW w:w="857" w:type="dxa"/>
            <w:tcBorders>
              <w:top w:val="nil"/>
              <w:left w:val="dotDash" w:sz="4" w:space="0" w:color="auto"/>
              <w:bottom w:val="nil"/>
              <w:right w:val="nil"/>
            </w:tcBorders>
            <w:shd w:val="clear" w:color="auto" w:fill="auto"/>
            <w:noWrap/>
            <w:vAlign w:val="center"/>
            <w:hideMark/>
          </w:tcPr>
          <w:p w14:paraId="769BF834"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-3,390.6</w:t>
            </w:r>
          </w:p>
        </w:tc>
        <w:tc>
          <w:tcPr>
            <w:tcW w:w="910" w:type="dxa"/>
            <w:tcBorders>
              <w:top w:val="nil"/>
              <w:left w:val="nil"/>
              <w:bottom w:val="nil"/>
              <w:right w:val="nil"/>
            </w:tcBorders>
            <w:shd w:val="clear" w:color="auto" w:fill="auto"/>
            <w:noWrap/>
            <w:vAlign w:val="center"/>
            <w:hideMark/>
          </w:tcPr>
          <w:p w14:paraId="588DECC2"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-50.1</w:t>
            </w:r>
          </w:p>
        </w:tc>
      </w:tr>
      <w:tr w:rsidR="00867ED8" w:rsidRPr="00DB556E" w14:paraId="1D8E599B"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1647EE9E" w14:textId="77777777" w:rsidR="00867ED8" w:rsidRPr="00DB556E" w:rsidRDefault="00867ED8" w:rsidP="00867ED8">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Préstamos</w:t>
            </w:r>
          </w:p>
        </w:tc>
        <w:tc>
          <w:tcPr>
            <w:tcW w:w="857" w:type="dxa"/>
            <w:tcBorders>
              <w:top w:val="nil"/>
              <w:left w:val="nil"/>
              <w:bottom w:val="nil"/>
              <w:right w:val="nil"/>
            </w:tcBorders>
            <w:shd w:val="clear" w:color="auto" w:fill="auto"/>
            <w:noWrap/>
            <w:vAlign w:val="center"/>
            <w:hideMark/>
          </w:tcPr>
          <w:p w14:paraId="6099D539"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-836.8</w:t>
            </w:r>
          </w:p>
        </w:tc>
        <w:tc>
          <w:tcPr>
            <w:tcW w:w="857" w:type="dxa"/>
            <w:tcBorders>
              <w:top w:val="nil"/>
              <w:left w:val="nil"/>
              <w:bottom w:val="nil"/>
              <w:right w:val="nil"/>
            </w:tcBorders>
            <w:shd w:val="clear" w:color="auto" w:fill="auto"/>
            <w:noWrap/>
            <w:vAlign w:val="center"/>
            <w:hideMark/>
          </w:tcPr>
          <w:p w14:paraId="0895E3E5"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-758.1</w:t>
            </w:r>
          </w:p>
        </w:tc>
        <w:tc>
          <w:tcPr>
            <w:tcW w:w="857" w:type="dxa"/>
            <w:tcBorders>
              <w:top w:val="nil"/>
              <w:left w:val="dotDash" w:sz="4" w:space="0" w:color="auto"/>
              <w:bottom w:val="nil"/>
              <w:right w:val="nil"/>
            </w:tcBorders>
            <w:shd w:val="clear" w:color="auto" w:fill="auto"/>
            <w:noWrap/>
            <w:vAlign w:val="center"/>
            <w:hideMark/>
          </w:tcPr>
          <w:p w14:paraId="79548927"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78.7</w:t>
            </w:r>
          </w:p>
        </w:tc>
        <w:tc>
          <w:tcPr>
            <w:tcW w:w="910" w:type="dxa"/>
            <w:tcBorders>
              <w:top w:val="nil"/>
              <w:left w:val="nil"/>
              <w:bottom w:val="nil"/>
              <w:right w:val="nil"/>
            </w:tcBorders>
            <w:shd w:val="clear" w:color="auto" w:fill="auto"/>
            <w:noWrap/>
            <w:vAlign w:val="center"/>
            <w:hideMark/>
          </w:tcPr>
          <w:p w14:paraId="3B1E8984"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-9.4</w:t>
            </w:r>
          </w:p>
        </w:tc>
      </w:tr>
      <w:tr w:rsidR="00867ED8" w:rsidRPr="00DB556E" w14:paraId="52BF3716"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7910622D" w14:textId="77777777" w:rsidR="00867ED8" w:rsidRPr="00DB556E" w:rsidRDefault="00867ED8" w:rsidP="00867ED8">
            <w:pPr>
              <w:ind w:firstLineChars="100" w:firstLine="180"/>
              <w:jc w:val="left"/>
              <w:rPr>
                <w:rFonts w:eastAsia="Times New Roman" w:cs="Times New Roman"/>
                <w:color w:val="000000"/>
                <w:sz w:val="18"/>
                <w:szCs w:val="18"/>
                <w:lang w:eastAsia="es-GT"/>
              </w:rPr>
            </w:pPr>
            <w:r w:rsidRPr="00DB556E">
              <w:rPr>
                <w:rFonts w:eastAsia="Times New Roman" w:cs="Times New Roman"/>
                <w:color w:val="000000"/>
                <w:sz w:val="18"/>
                <w:szCs w:val="18"/>
                <w:lang w:eastAsia="es-GT"/>
              </w:rPr>
              <w:t>Otros</w:t>
            </w:r>
          </w:p>
        </w:tc>
        <w:tc>
          <w:tcPr>
            <w:tcW w:w="857" w:type="dxa"/>
            <w:tcBorders>
              <w:top w:val="nil"/>
              <w:left w:val="nil"/>
              <w:bottom w:val="nil"/>
              <w:right w:val="nil"/>
            </w:tcBorders>
            <w:shd w:val="clear" w:color="auto" w:fill="auto"/>
            <w:noWrap/>
            <w:vAlign w:val="center"/>
            <w:hideMark/>
          </w:tcPr>
          <w:p w14:paraId="04935482"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-687.1</w:t>
            </w:r>
          </w:p>
        </w:tc>
        <w:tc>
          <w:tcPr>
            <w:tcW w:w="857" w:type="dxa"/>
            <w:tcBorders>
              <w:top w:val="nil"/>
              <w:left w:val="nil"/>
              <w:bottom w:val="nil"/>
              <w:right w:val="nil"/>
            </w:tcBorders>
            <w:shd w:val="clear" w:color="auto" w:fill="auto"/>
            <w:noWrap/>
            <w:vAlign w:val="center"/>
            <w:hideMark/>
          </w:tcPr>
          <w:p w14:paraId="231DB1F5"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-187.1</w:t>
            </w:r>
          </w:p>
        </w:tc>
        <w:tc>
          <w:tcPr>
            <w:tcW w:w="857" w:type="dxa"/>
            <w:tcBorders>
              <w:top w:val="nil"/>
              <w:left w:val="dotDash" w:sz="4" w:space="0" w:color="auto"/>
              <w:bottom w:val="nil"/>
              <w:right w:val="nil"/>
            </w:tcBorders>
            <w:shd w:val="clear" w:color="auto" w:fill="auto"/>
            <w:noWrap/>
            <w:vAlign w:val="center"/>
            <w:hideMark/>
          </w:tcPr>
          <w:p w14:paraId="4540B65B"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500.0</w:t>
            </w:r>
          </w:p>
        </w:tc>
        <w:tc>
          <w:tcPr>
            <w:tcW w:w="910" w:type="dxa"/>
            <w:tcBorders>
              <w:top w:val="nil"/>
              <w:left w:val="nil"/>
              <w:bottom w:val="nil"/>
              <w:right w:val="nil"/>
            </w:tcBorders>
            <w:shd w:val="clear" w:color="auto" w:fill="auto"/>
            <w:noWrap/>
            <w:vAlign w:val="center"/>
            <w:hideMark/>
          </w:tcPr>
          <w:p w14:paraId="5EA09D4B" w14:textId="77777777" w:rsidR="00867ED8" w:rsidRPr="00DB556E" w:rsidRDefault="00867ED8" w:rsidP="00867ED8">
            <w:pPr>
              <w:jc w:val="center"/>
              <w:rPr>
                <w:rFonts w:eastAsia="Times New Roman" w:cs="Times New Roman"/>
                <w:color w:val="000000"/>
                <w:sz w:val="18"/>
                <w:szCs w:val="18"/>
                <w:lang w:eastAsia="es-GT"/>
              </w:rPr>
            </w:pPr>
            <w:r w:rsidRPr="00DB556E">
              <w:rPr>
                <w:color w:val="000000"/>
                <w:sz w:val="18"/>
                <w:szCs w:val="18"/>
              </w:rPr>
              <w:t>-72.8</w:t>
            </w:r>
          </w:p>
        </w:tc>
      </w:tr>
      <w:tr w:rsidR="00867ED8" w:rsidRPr="00DB556E" w14:paraId="57DF79D0" w14:textId="77777777" w:rsidTr="00D145A4">
        <w:trPr>
          <w:trHeight w:val="268"/>
          <w:jc w:val="center"/>
        </w:trPr>
        <w:tc>
          <w:tcPr>
            <w:tcW w:w="3093" w:type="dxa"/>
            <w:tcBorders>
              <w:top w:val="nil"/>
              <w:left w:val="nil"/>
              <w:bottom w:val="nil"/>
              <w:right w:val="nil"/>
            </w:tcBorders>
            <w:shd w:val="clear" w:color="auto" w:fill="auto"/>
            <w:noWrap/>
            <w:vAlign w:val="center"/>
            <w:hideMark/>
          </w:tcPr>
          <w:p w14:paraId="0CB135F7" w14:textId="77777777" w:rsidR="00867ED8" w:rsidRPr="00DB556E" w:rsidRDefault="00867ED8" w:rsidP="00867ED8">
            <w:pPr>
              <w:rPr>
                <w:rFonts w:eastAsia="Times New Roman" w:cs="Times New Roman"/>
                <w:b/>
                <w:bCs/>
                <w:color w:val="000000"/>
                <w:sz w:val="18"/>
                <w:szCs w:val="18"/>
                <w:lang w:eastAsia="es-GT"/>
              </w:rPr>
            </w:pPr>
            <w:r w:rsidRPr="00DB556E">
              <w:rPr>
                <w:rFonts w:eastAsia="Times New Roman" w:cs="Times New Roman"/>
                <w:b/>
                <w:bCs/>
                <w:color w:val="000000"/>
                <w:sz w:val="18"/>
                <w:szCs w:val="18"/>
                <w:lang w:eastAsia="es-GT"/>
              </w:rPr>
              <w:t>Discrepancia estadística global</w:t>
            </w:r>
          </w:p>
        </w:tc>
        <w:tc>
          <w:tcPr>
            <w:tcW w:w="857" w:type="dxa"/>
            <w:tcBorders>
              <w:top w:val="nil"/>
              <w:left w:val="nil"/>
              <w:bottom w:val="nil"/>
              <w:right w:val="nil"/>
            </w:tcBorders>
            <w:shd w:val="clear" w:color="auto" w:fill="auto"/>
            <w:noWrap/>
            <w:vAlign w:val="center"/>
            <w:hideMark/>
          </w:tcPr>
          <w:p w14:paraId="056FF896"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-2,274.9</w:t>
            </w:r>
          </w:p>
        </w:tc>
        <w:tc>
          <w:tcPr>
            <w:tcW w:w="857" w:type="dxa"/>
            <w:tcBorders>
              <w:top w:val="nil"/>
              <w:left w:val="nil"/>
              <w:bottom w:val="nil"/>
              <w:right w:val="nil"/>
            </w:tcBorders>
            <w:shd w:val="clear" w:color="auto" w:fill="auto"/>
            <w:noWrap/>
            <w:vAlign w:val="center"/>
            <w:hideMark/>
          </w:tcPr>
          <w:p w14:paraId="33A03A48"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-1,078.3</w:t>
            </w:r>
          </w:p>
        </w:tc>
        <w:tc>
          <w:tcPr>
            <w:tcW w:w="857" w:type="dxa"/>
            <w:tcBorders>
              <w:top w:val="nil"/>
              <w:left w:val="dotDash" w:sz="4" w:space="0" w:color="auto"/>
              <w:bottom w:val="nil"/>
              <w:right w:val="nil"/>
            </w:tcBorders>
            <w:shd w:val="clear" w:color="auto" w:fill="auto"/>
            <w:noWrap/>
            <w:vAlign w:val="center"/>
            <w:hideMark/>
          </w:tcPr>
          <w:p w14:paraId="24E8A0F1"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1,196.6</w:t>
            </w:r>
          </w:p>
        </w:tc>
        <w:tc>
          <w:tcPr>
            <w:tcW w:w="910" w:type="dxa"/>
            <w:tcBorders>
              <w:top w:val="nil"/>
              <w:left w:val="nil"/>
              <w:bottom w:val="nil"/>
              <w:right w:val="nil"/>
            </w:tcBorders>
            <w:shd w:val="clear" w:color="auto" w:fill="auto"/>
            <w:noWrap/>
            <w:vAlign w:val="center"/>
            <w:hideMark/>
          </w:tcPr>
          <w:p w14:paraId="0B730DA7" w14:textId="77777777" w:rsidR="00867ED8" w:rsidRPr="00DB556E" w:rsidRDefault="00867ED8" w:rsidP="00867ED8">
            <w:pPr>
              <w:jc w:val="center"/>
              <w:rPr>
                <w:rFonts w:eastAsia="Times New Roman" w:cs="Times New Roman"/>
                <w:b/>
                <w:bCs/>
                <w:color w:val="000000"/>
                <w:sz w:val="18"/>
                <w:szCs w:val="18"/>
                <w:lang w:eastAsia="es-GT"/>
              </w:rPr>
            </w:pPr>
            <w:r w:rsidRPr="00DB556E">
              <w:rPr>
                <w:b/>
                <w:bCs/>
                <w:color w:val="000000"/>
                <w:sz w:val="18"/>
                <w:szCs w:val="18"/>
              </w:rPr>
              <w:t>-52.6</w:t>
            </w:r>
          </w:p>
        </w:tc>
      </w:tr>
    </w:tbl>
    <w:p w14:paraId="3350F89B" w14:textId="77777777" w:rsidR="003C303F" w:rsidRPr="00DB556E" w:rsidRDefault="00D145A4" w:rsidP="007105EE">
      <w:pPr>
        <w:ind w:left="1134"/>
        <w:rPr>
          <w:rFonts w:cs="Times New Roman"/>
          <w:sz w:val="16"/>
          <w:szCs w:val="22"/>
          <w:lang w:val="es-MX"/>
        </w:rPr>
      </w:pPr>
      <w:r w:rsidRPr="00DB556E">
        <w:rPr>
          <w:rFonts w:cs="Times New Roman"/>
          <w:sz w:val="16"/>
          <w:szCs w:val="22"/>
          <w:lang w:val="es-MX"/>
        </w:rPr>
        <w:fldChar w:fldCharType="end"/>
      </w:r>
      <w:r w:rsidR="003C303F" w:rsidRPr="00DB556E">
        <w:rPr>
          <w:rFonts w:cs="Times New Roman"/>
          <w:sz w:val="16"/>
          <w:szCs w:val="22"/>
          <w:lang w:val="es-MX"/>
        </w:rPr>
        <w:t>*Cifras preliminares</w:t>
      </w:r>
    </w:p>
    <w:p w14:paraId="445E1632" w14:textId="77777777" w:rsidR="003C303F" w:rsidRDefault="003C303F" w:rsidP="007105EE">
      <w:pPr>
        <w:ind w:left="1134"/>
        <w:rPr>
          <w:rFonts w:cs="Times New Roman"/>
          <w:sz w:val="16"/>
          <w:szCs w:val="22"/>
          <w:lang w:val="es-MX"/>
        </w:rPr>
      </w:pPr>
      <w:r w:rsidRPr="00DB556E">
        <w:rPr>
          <w:rFonts w:cs="Times New Roman"/>
          <w:sz w:val="16"/>
          <w:szCs w:val="22"/>
          <w:lang w:val="es-MX"/>
        </w:rPr>
        <w:t>Fuente: MINFIN</w:t>
      </w:r>
    </w:p>
    <w:p w14:paraId="6886455E" w14:textId="77777777" w:rsidR="006939D7" w:rsidRPr="00BF230D" w:rsidRDefault="006939D7" w:rsidP="007105EE">
      <w:pPr>
        <w:ind w:left="1134"/>
        <w:rPr>
          <w:rFonts w:cs="Times New Roman"/>
          <w:sz w:val="16"/>
          <w:szCs w:val="22"/>
          <w:lang w:val="es-MX"/>
        </w:rPr>
      </w:pPr>
    </w:p>
    <w:sectPr w:rsidR="006939D7" w:rsidRPr="00BF230D" w:rsidSect="00D319A6">
      <w:type w:val="continuous"/>
      <w:pgSz w:w="12240" w:h="15840" w:code="1"/>
      <w:pgMar w:top="1418" w:right="1418" w:bottom="1418" w:left="1418"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8AB3E" w14:textId="77777777" w:rsidR="006F0A20" w:rsidRDefault="006F0A20" w:rsidP="000B5E1C">
      <w:r>
        <w:separator/>
      </w:r>
    </w:p>
  </w:endnote>
  <w:endnote w:type="continuationSeparator" w:id="0">
    <w:p w14:paraId="6E29612E" w14:textId="77777777" w:rsidR="006F0A20" w:rsidRDefault="006F0A20" w:rsidP="000B5E1C">
      <w:r>
        <w:continuationSeparator/>
      </w:r>
    </w:p>
  </w:endnote>
  <w:endnote w:type="continuationNotice" w:id="1">
    <w:p w14:paraId="4AB8B53E" w14:textId="77777777" w:rsidR="006F0A20" w:rsidRDefault="006F0A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i/>
        <w:color w:val="1F497D" w:themeColor="text2"/>
        <w:lang w:val="es-ES"/>
      </w:rPr>
      <w:id w:val="1089358670"/>
      <w:docPartObj>
        <w:docPartGallery w:val="Page Numbers (Bottom of Page)"/>
        <w:docPartUnique/>
      </w:docPartObj>
    </w:sdtPr>
    <w:sdtEndPr/>
    <w:sdtContent>
      <w:p w14:paraId="040AFEF9" w14:textId="77777777" w:rsidR="000A5B5B" w:rsidRPr="00AC45C7" w:rsidRDefault="000A5B5B">
        <w:pPr>
          <w:pStyle w:val="Piedepgina"/>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0" behindDoc="0" locked="0" layoutInCell="1" allowOverlap="1" wp14:anchorId="1B4743A9" wp14:editId="17FB757A">
                  <wp:simplePos x="0" y="0"/>
                  <wp:positionH relativeFrom="column">
                    <wp:posOffset>77580</wp:posOffset>
                  </wp:positionH>
                  <wp:positionV relativeFrom="paragraph">
                    <wp:posOffset>-58006</wp:posOffset>
                  </wp:positionV>
                  <wp:extent cx="6027089" cy="47708"/>
                  <wp:effectExtent l="0" t="0" r="12065" b="28575"/>
                  <wp:wrapNone/>
                  <wp:docPr id="43" name="43 Rectángulo"/>
                  <wp:cNvGraphicFramePr/>
                  <a:graphic xmlns:a="http://schemas.openxmlformats.org/drawingml/2006/main">
                    <a:graphicData uri="http://schemas.microsoft.com/office/word/2010/wordprocessingShape">
                      <wps:wsp>
                        <wps:cNvSpPr/>
                        <wps:spPr>
                          <a:xfrm>
                            <a:off x="0" y="0"/>
                            <a:ext cx="6027089" cy="47708"/>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815F65" id="43 Rectángulo" o:spid="_x0000_s1026" style="position:absolute;margin-left:6.1pt;margin-top:-4.55pt;width:474.55pt;height:3.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vU4CQMAABkJAAAOAAAAZHJzL2Uyb0RvYy54bWzsVktvGyEQvlfqf0Dcm127jhNbWUdWolSV&#10;0iZKUuWMWdhFYoECfvXXd4DdtZs6aZX2UqmXNQzDDPPN4/PZ+aaRaMWsE1oVeHCUY8QU1aVQVYG/&#10;PFy9O8XIeaJKIrViBd4yh89nb9+crc2UDXWtZcksAiPKTdemwLX3ZppljtasIe5IG6bgkGvbEA9b&#10;W2WlJWuw3shsmOfjbK1taaymzDmQXqZDPIv2OWfU33DumEeywPA2H782fhfhm83OyLSyxNSCts8g&#10;r3hFQ4QCp72pS+IJWlrxk6lGUKud5v6I6ibTnAvKYgwQzSB/Es19TQyLsQA4zvQwub9nln5e3Ztb&#10;CzCsjZs6WIYoNtw24RfehzYRrG0PFtt4REE4zocn+ekEIwpnoxNYBzCz3WVjnf/AdIPCosAWchEh&#10;Iqtr55Nqp9IiV14JKRGXAgpBQblgZLV/FL6OQEB5JYgd3I83HDIasMijOJYMu5AWrQgkm1DKlE83&#10;vFA+ScfjPG+T7oj/pMskHgRxlMP7e0Mxmsrtu4IwQS9Ieq2X3I1Gx3/kbjJ5xt2iSpHJZdMHMQFf&#10;vxPD6XNGD0M2fP+aGADHqsuTFAqRMA+gAR0lkpV9MXkh2R0URioH6MNYAgFfqSLue5LeXvU/7/9W&#10;3o9HUJlQmz9mP5RIn17YhIxnuykUV34rWaqGO8aRKGHuDH/Vfq4mJUtdGTricEtIBQaDZQ4jp7ed&#10;muqZ1k412uqHqyzyS3/5xbmQLvc3ometfH+5EUrbQ5FJmGGt56TfgZSgCSgtdLm9tWFWphYz9ErA&#10;yL0mzt8SC3QGyANF+xv4cKnXBdbtCqNa22+H5EEfWAZOMVoDPRbYfV0SCyNZflQwcyeD0SjwadyM&#10;jk+GsLH7J4v9E7VsLjQM5QGUgKFxGfS97Jbc6uYRmHwevMIRURR8F5h6220ufKJt+C9A2Xwe1YBD&#10;DfHX6t7Qjh0CpTxsHok1Le94IKzPuqNSMn1CP0k35EPp+dJrLuIw2uHa4g38m/gg/VcIBL+/j1q7&#10;fzSz7wAAAP//AwBQSwMEFAAGAAgAAAAhANd912bgAAAACAEAAA8AAABkcnMvZG93bnJldi54bWxM&#10;j0FLw0AQhe+C/2EZwYu0m0SJTcymFIOCXsS0IN622TEJZmdDdttGf73jSY9v3uPN94r1bAdxxMn3&#10;jhTEywgEUuNMT62C3fZhsQLhgyajB0eo4As9rMvzs0Lnxp3oFY91aAWXkM+1gi6EMZfSNx1a7Zdu&#10;RGLvw01WB5ZTK82kT1xuB5lEUSqt7ok/dHrE+w6bz/pgFVSbp2dd3eyy6PvtJXl/vPJVfeuVuryY&#10;N3cgAs7hLwy/+IwOJTPt3YGMFwPrJOGkgkUWg2A/S+NrEHs+xCnIspD/B5Q/AAAA//8DAFBLAQIt&#10;ABQABgAIAAAAIQC2gziS/gAAAOEBAAATAAAAAAAAAAAAAAAAAAAAAABbQ29udGVudF9UeXBlc10u&#10;eG1sUEsBAi0AFAAGAAgAAAAhADj9If/WAAAAlAEAAAsAAAAAAAAAAAAAAAAALwEAAF9yZWxzLy5y&#10;ZWxzUEsBAi0AFAAGAAgAAAAhAPe+9TgJAwAAGQkAAA4AAAAAAAAAAAAAAAAALgIAAGRycy9lMm9E&#10;b2MueG1sUEsBAi0AFAAGAAgAAAAhANd912bgAAAACAEAAA8AAAAAAAAAAAAAAAAAYwUAAGRycy9k&#10;b3ducmV2LnhtbFBLBQYAAAAABAAEAPMAAABwBgAAAAA=&#10;" fillcolor="#8aabd3 [2132]" strokeweight="2pt">
                  <v:fill color2="#f2f2f2 [3052]" rotate="t" angle="90" colors="0 #9ab5e4;50463f #c2d1ed;58327f #e1e8f5;64881f #f2f2f2" focus="100%" type="gradient">
                    <o:fill v:ext="view" type="gradientUnscaled"/>
                  </v:fill>
                </v:rect>
              </w:pict>
            </mc:Fallback>
          </mc:AlternateContent>
        </w:r>
        <w:r w:rsidRPr="00AC45C7">
          <w:rPr>
            <w:rFonts w:cs="Times New Roman"/>
            <w:i/>
            <w:color w:val="1F497D" w:themeColor="text2"/>
            <w:lang w:val="es-ES"/>
          </w:rPr>
          <w:t xml:space="preserve">Página | </w:t>
        </w:r>
        <w:r w:rsidRPr="00AC45C7">
          <w:rPr>
            <w:rFonts w:cs="Times New Roman"/>
            <w:i/>
            <w:color w:val="1F497D" w:themeColor="text2"/>
          </w:rPr>
          <w:fldChar w:fldCharType="begin"/>
        </w:r>
        <w:r w:rsidRPr="00AC45C7">
          <w:rPr>
            <w:rFonts w:cs="Times New Roman"/>
            <w:i/>
            <w:color w:val="1F497D" w:themeColor="text2"/>
          </w:rPr>
          <w:instrText>PAGE   \* MERGEFORMAT</w:instrText>
        </w:r>
        <w:r w:rsidRPr="00AC45C7">
          <w:rPr>
            <w:rFonts w:cs="Times New Roman"/>
            <w:i/>
            <w:color w:val="1F497D" w:themeColor="text2"/>
          </w:rPr>
          <w:fldChar w:fldCharType="separate"/>
        </w:r>
        <w:r w:rsidR="004A5583" w:rsidRPr="004A5583">
          <w:rPr>
            <w:rFonts w:cs="Times New Roman"/>
            <w:i/>
            <w:noProof/>
            <w:color w:val="1F497D" w:themeColor="text2"/>
            <w:lang w:val="es-ES"/>
          </w:rPr>
          <w:t>11</w:t>
        </w:r>
        <w:r w:rsidRPr="00AC45C7">
          <w:rPr>
            <w:rFonts w:cs="Times New Roman"/>
            <w:i/>
            <w:color w:val="1F497D" w:themeColor="text2"/>
          </w:rPr>
          <w:fldChar w:fldCharType="end"/>
        </w:r>
        <w:r w:rsidRPr="00AC45C7">
          <w:rPr>
            <w:rFonts w:cs="Times New Roman"/>
            <w:i/>
            <w:color w:val="1F497D" w:themeColor="text2"/>
            <w:lang w:val="es-ES"/>
          </w:rPr>
          <w:t xml:space="preserve"> </w:t>
        </w:r>
      </w:p>
    </w:sdtContent>
  </w:sdt>
  <w:p w14:paraId="34E4454A" w14:textId="77777777" w:rsidR="000A5B5B" w:rsidRPr="00D5619D" w:rsidRDefault="000A5B5B" w:rsidP="003813F7">
    <w:pPr>
      <w:pStyle w:val="Piedepgina"/>
      <w:tabs>
        <w:tab w:val="clear" w:pos="8838"/>
        <w:tab w:val="left" w:pos="5173"/>
      </w:tabs>
      <w:rPr>
        <w:rFonts w:cs="Times New Roman"/>
        <w:i/>
        <w:color w:val="1F497D" w:themeColor="text2"/>
      </w:rPr>
    </w:pPr>
    <w:r w:rsidRPr="00D5619D">
      <w:rPr>
        <w:rFonts w:cs="Times New Roman"/>
        <w:i/>
        <w:color w:val="1F497D" w:themeColor="text2"/>
      </w:rPr>
      <w:t>Informe d</w:t>
    </w:r>
    <w:r>
      <w:rPr>
        <w:rFonts w:cs="Times New Roman"/>
        <w:i/>
        <w:color w:val="1F497D" w:themeColor="text2"/>
      </w:rPr>
      <w:t xml:space="preserve">e las Finanzas Públicas - </w:t>
    </w:r>
    <w:r w:rsidR="009421C4">
      <w:rPr>
        <w:rFonts w:cs="Times New Roman"/>
        <w:i/>
        <w:color w:val="1F497D" w:themeColor="text2"/>
      </w:rPr>
      <w:t>Primer</w:t>
    </w:r>
    <w:r>
      <w:rPr>
        <w:rFonts w:cs="Times New Roman"/>
        <w:i/>
        <w:color w:val="1F497D" w:themeColor="text2"/>
      </w:rPr>
      <w:t xml:space="preserve"> Trimestre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AAF1" w14:textId="77777777" w:rsidR="000A5B5B" w:rsidRDefault="000A5B5B">
    <w:pPr>
      <w:pStyle w:val="Piedepgina"/>
    </w:pPr>
    <w:r>
      <w:rPr>
        <w:rFonts w:cs="Times New Roman"/>
        <w:i/>
        <w:noProof/>
        <w:color w:val="1F497D" w:themeColor="text2"/>
        <w:lang w:eastAsia="es-GT"/>
      </w:rPr>
      <mc:AlternateContent>
        <mc:Choice Requires="wps">
          <w:drawing>
            <wp:anchor distT="0" distB="0" distL="114300" distR="114300" simplePos="0" relativeHeight="251658242" behindDoc="0" locked="0" layoutInCell="1" allowOverlap="1" wp14:anchorId="2C67F3FC" wp14:editId="2B07D3AE">
              <wp:simplePos x="0" y="0"/>
              <wp:positionH relativeFrom="column">
                <wp:posOffset>77580</wp:posOffset>
              </wp:positionH>
              <wp:positionV relativeFrom="paragraph">
                <wp:posOffset>-206568</wp:posOffset>
              </wp:positionV>
              <wp:extent cx="5931315" cy="47625"/>
              <wp:effectExtent l="0" t="0" r="12700" b="28575"/>
              <wp:wrapNone/>
              <wp:docPr id="45" name="45 Rectángulo"/>
              <wp:cNvGraphicFramePr/>
              <a:graphic xmlns:a="http://schemas.openxmlformats.org/drawingml/2006/main">
                <a:graphicData uri="http://schemas.microsoft.com/office/word/2010/wordprocessingShape">
                  <wps:wsp>
                    <wps:cNvSpPr/>
                    <wps:spPr>
                      <a:xfrm>
                        <a:off x="0" y="0"/>
                        <a:ext cx="5931315" cy="47625"/>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6BCEA0" id="45 Rectángulo" o:spid="_x0000_s1026" style="position:absolute;margin-left:6.1pt;margin-top:-16.25pt;width:467.05pt;height:3.7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2M6CgMAABkJAAAOAAAAZHJzL2Uyb0RvYy54bWzsVktvGyEQvlfqf0Dcm107fsRW1pGVKFWl&#10;NLGSVDljFrxILFDAr/76DrBeu6mTVmkvlXpZwzDMMN88Pp9fbGqJVsw6oVWBOyc5RkxRXQq1KPCX&#10;x+sPZxg5T1RJpFaswFvm8MXk/bvztRmzrq60LJlFYES58doUuPLejLPM0YrVxJ1owxQccm1r4mFr&#10;F1lpyRqs1zLr5vkgW2tbGqspcw6kV+kQT6J9zhn1d5w75pEsMLzNx6+N33n4ZpNzMl5YYipBm2eQ&#10;N7yiJkKB09bUFfEELa34yVQtqNVOc39CdZ1pzgVlMQaIppM/i+ahIobFWAAcZ1qY3N8zS29XD2Zm&#10;AYa1cWMHyxDFhts6/ML70CaCtW3BYhuPKAj7o9POaaePEYWz3nDQ7Qcws/1lY53/yHSNwqLAFnIR&#10;ISKrG+eT6k6lQa68FlIiLgUUgoJywchq/yR8FYGA8koQO7gfbzhkNGCRR3EsGXYpLVoRSDahlCmf&#10;bnihfJIOBnneJN0R/1mXSdwJ4iiH97eGYjQLd+hqOAx6QdJqveau1+v/kbvR6AV380WKTC7rNogR&#10;+PqdGM5eMnocsu7pW2IAHBe7PEmhEAnzABrQUSJZ2RaTF5LdQ2GkcoA+jCUQ8JUq4n4gae0t/uf9&#10;38p7vweVCbX5Y/ZDibTphU3IeLafQnHlt5KlarhnHIkS5k73V+3nKlKy1JWhI463hFRgMFjmMHJa&#10;26mpXmjtVKONfrjKIr+0l1+dC+lyeyN61sq3l2uhtD0WmYQZ1nhO+juQEjQBpbkutzMbZmVqMUOv&#10;BYzcG+L8jFigM0AeKNrfwYdLvS6wblYYVdp+OyYP+sAycIrRGuixwO7rklgYyfKTgpk76vR6gU/j&#10;ptcfdmFjD0/mhydqWV9qGModKAFD4zLoe7lbcqvrJ2DyafAKR0RR8F1g6u1uc+kTbcN/Acqm06gG&#10;HGqIv1EPhu7YIVDK4+aJWNPwjgfCutU7KiXjZ/STdEM+lJ4uveYiDqM9rg3ewL+JD9J/hUDwh/uo&#10;tf9HM/kOAAD//wMAUEsDBBQABgAIAAAAIQCNwiDA4gAAAAoBAAAPAAAAZHJzL2Rvd25yZXYueG1s&#10;TI9NT8MwDIbvSPyHyEhc0JaSfcBK02miAmlcEGUS4uY1oa1onKrJtsKvx5zg+NqPXj/O1qPrxNEO&#10;ofWk4XqagLBUedNSrWH3+jC5BREiksHOk9XwZQOs8/OzDFPjT/Rij2WsBZdQSFFDE2OfShmqxjoM&#10;U99b4t2HHxxGjkMtzYAnLnedVEmylA5b4gsN9va+sdVneXAais32CYv5bpV8vz2r98erUJQ3QevL&#10;i3FzByLaMf7B8KvP6pCz094fyATRcVaKSQ2TmVqAYGA1X85A7HmiFgnIPJP/X8h/AAAA//8DAFBL&#10;AQItABQABgAIAAAAIQC2gziS/gAAAOEBAAATAAAAAAAAAAAAAAAAAAAAAABbQ29udGVudF9UeXBl&#10;c10ueG1sUEsBAi0AFAAGAAgAAAAhADj9If/WAAAAlAEAAAsAAAAAAAAAAAAAAAAALwEAAF9yZWxz&#10;Ly5yZWxzUEsBAi0AFAAGAAgAAAAhAFRnYzoKAwAAGQkAAA4AAAAAAAAAAAAAAAAALgIAAGRycy9l&#10;Mm9Eb2MueG1sUEsBAi0AFAAGAAgAAAAhAI3CIMDiAAAACgEAAA8AAAAAAAAAAAAAAAAAZAUAAGRy&#10;cy9kb3ducmV2LnhtbFBLBQYAAAAABAAEAPMAAABzBgAAAAA=&#10;" fillcolor="#8aabd3 [2132]" strokeweight="2pt">
              <v:fill color2="#f2f2f2 [3052]" rotate="t" angle="90" colors="0 #9ab5e4;50463f #c2d1ed;58327f #e1e8f5;64881f #f2f2f2" focus="100%" type="gradient">
                <o:fill v:ext="view" type="gradientUnscaled"/>
              </v:fil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5F0D71" w14:textId="77777777" w:rsidR="006F0A20" w:rsidRDefault="006F0A20" w:rsidP="000B5E1C">
      <w:r>
        <w:separator/>
      </w:r>
    </w:p>
  </w:footnote>
  <w:footnote w:type="continuationSeparator" w:id="0">
    <w:p w14:paraId="17752A51" w14:textId="77777777" w:rsidR="006F0A20" w:rsidRDefault="006F0A20" w:rsidP="000B5E1C">
      <w:r>
        <w:continuationSeparator/>
      </w:r>
    </w:p>
  </w:footnote>
  <w:footnote w:type="continuationNotice" w:id="1">
    <w:p w14:paraId="63B42AB1" w14:textId="77777777" w:rsidR="006F0A20" w:rsidRDefault="006F0A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714C" w14:textId="77777777" w:rsidR="000A5B5B" w:rsidRPr="00AC45C7" w:rsidRDefault="000A5B5B" w:rsidP="00AC45C7">
    <w:pPr>
      <w:pStyle w:val="Encabezado"/>
      <w:jc w:val="right"/>
      <w:rPr>
        <w:rFonts w:cs="Times New Roman"/>
        <w:i/>
        <w:color w:val="1F497D" w:themeColor="text2"/>
      </w:rPr>
    </w:pPr>
    <w:r>
      <w:rPr>
        <w:rFonts w:cs="Times New Roman"/>
        <w:i/>
        <w:noProof/>
        <w:color w:val="1F497D" w:themeColor="text2"/>
        <w:lang w:eastAsia="es-GT"/>
      </w:rPr>
      <mc:AlternateContent>
        <mc:Choice Requires="wps">
          <w:drawing>
            <wp:anchor distT="0" distB="0" distL="114300" distR="114300" simplePos="0" relativeHeight="251658241" behindDoc="0" locked="0" layoutInCell="1" allowOverlap="1" wp14:anchorId="26DEA52F" wp14:editId="5677A061">
              <wp:simplePos x="0" y="0"/>
              <wp:positionH relativeFrom="column">
                <wp:posOffset>1147787</wp:posOffset>
              </wp:positionH>
              <wp:positionV relativeFrom="paragraph">
                <wp:posOffset>315840</wp:posOffset>
              </wp:positionV>
              <wp:extent cx="4955442" cy="45719"/>
              <wp:effectExtent l="0" t="0" r="17145" b="12065"/>
              <wp:wrapNone/>
              <wp:docPr id="44" name="44 Rectángulo"/>
              <wp:cNvGraphicFramePr/>
              <a:graphic xmlns:a="http://schemas.openxmlformats.org/drawingml/2006/main">
                <a:graphicData uri="http://schemas.microsoft.com/office/word/2010/wordprocessingShape">
                  <wps:wsp>
                    <wps:cNvSpPr/>
                    <wps:spPr>
                      <a:xfrm>
                        <a:off x="0" y="0"/>
                        <a:ext cx="4955442" cy="45719"/>
                      </a:xfrm>
                      <a:prstGeom prst="rect">
                        <a:avLst/>
                      </a:prstGeom>
                      <a:gradFill flip="none" rotWithShape="1">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0" scaled="0"/>
                        <a:tileRect/>
                      </a:gradFill>
                      <a:ln>
                        <a:gradFill>
                          <a:gsLst>
                            <a:gs pos="0">
                              <a:schemeClr val="accent1">
                                <a:tint val="66000"/>
                                <a:satMod val="160000"/>
                              </a:schemeClr>
                            </a:gs>
                            <a:gs pos="77000">
                              <a:schemeClr val="accent1">
                                <a:tint val="44500"/>
                                <a:satMod val="160000"/>
                              </a:schemeClr>
                            </a:gs>
                            <a:gs pos="99000">
                              <a:schemeClr val="bg1">
                                <a:lumMod val="95000"/>
                              </a:schemeClr>
                            </a:gs>
                            <a:gs pos="89000">
                              <a:schemeClr val="accent1">
                                <a:tint val="23500"/>
                                <a:satMod val="160000"/>
                              </a:schemeClr>
                            </a:gs>
                          </a:gsLst>
                          <a:lin ang="5400000" scaled="0"/>
                        </a:gra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5A1D83" id="44 Rectángulo" o:spid="_x0000_s1026" style="position:absolute;margin-left:90.4pt;margin-top:24.85pt;width:390.2pt;height:3.6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XQCgMAABkJAAAOAAAAZHJzL2Uyb0RvYy54bWzsVktvGyEQvlfqf0Dcm7XddRJbWUdWolSV&#10;0iZKUuWMWdhFYoECfvXXd4DdtZs6aZX2UqmXNQzDDPPN4/PZ+aaRaMWsE1oVeHg0wIgpqkuhqgJ/&#10;ebh6d4qR80SVRGrFCrxlDp/P3r45W5spG+lay5JZBEaUm65NgWvvzTTLHK1ZQ9yRNkzBIde2IR62&#10;tspKS9ZgvZHZaDA4ztbalsZqypwD6WU6xLNon3NG/Q3njnkkCwxv8/Fr43cRvtnsjEwrS0wtaPsM&#10;8opXNEQocNqbuiSeoKUVP5lqBLXaae6PqG4yzbmgLMYA0QwHT6K5r4lhMRYAx5keJvf3zNLPq3tz&#10;awGGtXFTB8sQxYbbJvzC+9AmgrXtwWIbjygI88l4nOcjjCic5eOT4SSAme0uG+v8B6YbFBYFtpCL&#10;CBFZXTufVDuVFrnySkiJuBRQCArKBSOr/aPwdQQCyitB7OB+vOGQ0YDFIIpjybALadGKQLIJpUz5&#10;dMML5ZP0+HgwaJPuiP+kyyQeBnGUw/t7QzGayu27OjkJekHSa73kLs/Hf+RuMnnG3aJKkcll0wcx&#10;AV+/E8Ppc0YPQzZ6/5oYAMeqy5MUCpEwD6ABHSWSlX0xeSHZHRRGKgfow1gCAV+pIu57kt5e9T/v&#10;/1bexzlUJtTmj9kPJdKnFzYh49luCsWV30qWquGOcSRKmDujX7Wfq0nJUleGjjjcElKBwWCZw8jp&#10;baemeqa1U422+uEqi/zSX35xLqTL/Y3oWSvfX26E0vZQZBJmWOs56XcgJWgCSgtdbm9tmJWpxQy9&#10;EjByr4nzt8QCnQHyQNH+Bj5c6nWBdbvCqNb22yF50AeWgVOM1kCPBXZfl8TCSJYfFczcyTDPA5/G&#10;DUz/EWzs/sli/0QtmwsNQ3kIJWBoXAZ9L7slt7p5BCafB69wRBQF3wWm3nabC59oG/4LUDafRzXg&#10;UEP8tbo3tGOHQCkPm0diTcs7Hgjrs+6olEyf0E/SDflQer70mos4jHa4tngD/yY+SP8VAsHv76PW&#10;7h/N7DsAAAD//wMAUEsDBBQABgAIAAAAIQCI52dX4QAAAAkBAAAPAAAAZHJzL2Rvd25yZXYueG1s&#10;TI9BS8NAFITvgv9heYIXaXcbatrEbEoxKOhFGgvi7TV5JsHs25DdttFf73rS4zDDzDfZZjK9ONHo&#10;OssaFnMFgriydceNhv3rw2wNwnnkGnvLpOGLHGzyy4sM09qeeUen0jcilLBLUUPr/ZBK6aqWDLq5&#10;HYiD92FHgz7IsZH1iOdQbnoZKRVLgx2HhRYHum+p+iyPRkOxfXrGYrlP1PfbS/T+eOOKcuW0vr6a&#10;tncgPE3+Lwy/+AEd8sB0sEeuneiDXquA7jUskxWIEEjiRQTioOE2TkDmmfz/IP8BAAD//wMAUEsB&#10;Ai0AFAAGAAgAAAAhALaDOJL+AAAA4QEAABMAAAAAAAAAAAAAAAAAAAAAAFtDb250ZW50X1R5cGVz&#10;XS54bWxQSwECLQAUAAYACAAAACEAOP0h/9YAAACUAQAACwAAAAAAAAAAAAAAAAAvAQAAX3JlbHMv&#10;LnJlbHNQSwECLQAUAAYACAAAACEAZBfV0AoDAAAZCQAADgAAAAAAAAAAAAAAAAAuAgAAZHJzL2Uy&#10;b0RvYy54bWxQSwECLQAUAAYACAAAACEAiOdnV+EAAAAJAQAADwAAAAAAAAAAAAAAAABkBQAAZHJz&#10;L2Rvd25yZXYueG1sUEsFBgAAAAAEAAQA8wAAAHIGAAAAAA==&#10;" fillcolor="#8aabd3 [2132]" strokeweight="2pt">
              <v:fill color2="#f2f2f2 [3052]" rotate="t" angle="90" colors="0 #9ab5e4;50463f #c2d1ed;58327f #e1e8f5;64881f #f2f2f2" focus="100%" type="gradient">
                <o:fill v:ext="view" type="gradientUnscaled"/>
              </v:fill>
            </v:rect>
          </w:pict>
        </mc:Fallback>
      </mc:AlternateContent>
    </w:r>
    <w:r w:rsidRPr="002E105E">
      <w:rPr>
        <w:noProof/>
        <w:sz w:val="20"/>
        <w:lang w:eastAsia="es-GT"/>
      </w:rPr>
      <w:drawing>
        <wp:anchor distT="0" distB="0" distL="114300" distR="114300" simplePos="0" relativeHeight="251660290" behindDoc="1" locked="1" layoutInCell="1" allowOverlap="1" wp14:anchorId="2B23BD24" wp14:editId="5AC8EE41">
          <wp:simplePos x="0" y="0"/>
          <wp:positionH relativeFrom="column">
            <wp:posOffset>-635</wp:posOffset>
          </wp:positionH>
          <wp:positionV relativeFrom="page">
            <wp:posOffset>10795</wp:posOffset>
          </wp:positionV>
          <wp:extent cx="1097280" cy="875030"/>
          <wp:effectExtent l="0" t="0" r="7620" b="1270"/>
          <wp:wrapNone/>
          <wp:docPr id="14" name="Picture 1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5" descr="Imagen que contiene Diagrama&#10;&#10;Descripción generada automáticamente"/>
                  <pic:cNvPicPr/>
                </pic:nvPicPr>
                <pic:blipFill rotWithShape="1">
                  <a:blip r:embed="rId1">
                    <a:extLst>
                      <a:ext uri="{28A0092B-C50C-407E-A947-70E740481C1C}">
                        <a14:useLocalDpi xmlns:a14="http://schemas.microsoft.com/office/drawing/2010/main" val="0"/>
                      </a:ext>
                    </a:extLst>
                  </a:blip>
                  <a:srcRect l="80019" t="2313" r="3444" b="87481"/>
                  <a:stretch/>
                </pic:blipFill>
                <pic:spPr bwMode="auto">
                  <a:xfrm>
                    <a:off x="0" y="0"/>
                    <a:ext cx="1097280" cy="87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C45C7">
      <w:rPr>
        <w:rFonts w:cs="Times New Roman"/>
        <w:i/>
        <w:color w:val="1F497D" w:themeColor="text2"/>
      </w:rPr>
      <w:t>Dirección de Análisis y Política Fiscal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B674F" w14:textId="77777777" w:rsidR="000A5B5B" w:rsidRPr="005329C2" w:rsidRDefault="000A5B5B" w:rsidP="00CB498E">
    <w:pPr>
      <w:pStyle w:val="Encabezado"/>
      <w:jc w:val="center"/>
      <w:rPr>
        <w:rFonts w:cs="Times New Roman"/>
        <w:i/>
        <w:color w:val="1F497D"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60D"/>
    <w:multiLevelType w:val="hybridMultilevel"/>
    <w:tmpl w:val="5652F5FA"/>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1A32CD"/>
    <w:multiLevelType w:val="hybridMultilevel"/>
    <w:tmpl w:val="6818CF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30B3E59"/>
    <w:multiLevelType w:val="hybridMultilevel"/>
    <w:tmpl w:val="F832278A"/>
    <w:lvl w:ilvl="0" w:tplc="4142F532">
      <w:start w:val="1"/>
      <w:numFmt w:val="low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145536B5"/>
    <w:multiLevelType w:val="hybridMultilevel"/>
    <w:tmpl w:val="02E2FB34"/>
    <w:lvl w:ilvl="0" w:tplc="2E828656">
      <w:start w:val="1"/>
      <w:numFmt w:val="decimal"/>
      <w:lvlText w:val="%1.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6811248"/>
    <w:multiLevelType w:val="hybridMultilevel"/>
    <w:tmpl w:val="2E12EF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DFA2B56"/>
    <w:multiLevelType w:val="hybridMultilevel"/>
    <w:tmpl w:val="60DAF598"/>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1F151372"/>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E5232B"/>
    <w:multiLevelType w:val="hybridMultilevel"/>
    <w:tmpl w:val="E06C4B02"/>
    <w:lvl w:ilvl="0" w:tplc="47281706">
      <w:start w:val="1"/>
      <w:numFmt w:val="bullet"/>
      <w:lvlText w:val="•"/>
      <w:lvlJc w:val="left"/>
      <w:pPr>
        <w:tabs>
          <w:tab w:val="num" w:pos="720"/>
        </w:tabs>
        <w:ind w:left="720" w:hanging="360"/>
      </w:pPr>
      <w:rPr>
        <w:rFonts w:ascii="Arial" w:hAnsi="Arial" w:hint="default"/>
      </w:rPr>
    </w:lvl>
    <w:lvl w:ilvl="1" w:tplc="100A0017">
      <w:start w:val="1"/>
      <w:numFmt w:val="lowerLetter"/>
      <w:lvlText w:val="%2)"/>
      <w:lvlJc w:val="left"/>
      <w:pPr>
        <w:tabs>
          <w:tab w:val="num" w:pos="1440"/>
        </w:tabs>
        <w:ind w:left="1440" w:hanging="360"/>
      </w:pPr>
      <w:rPr>
        <w:rFonts w:hint="default"/>
      </w:rPr>
    </w:lvl>
    <w:lvl w:ilvl="2" w:tplc="1C30B89C" w:tentative="1">
      <w:start w:val="1"/>
      <w:numFmt w:val="bullet"/>
      <w:lvlText w:val="•"/>
      <w:lvlJc w:val="left"/>
      <w:pPr>
        <w:tabs>
          <w:tab w:val="num" w:pos="2160"/>
        </w:tabs>
        <w:ind w:left="2160" w:hanging="360"/>
      </w:pPr>
      <w:rPr>
        <w:rFonts w:ascii="Arial" w:hAnsi="Arial" w:hint="default"/>
      </w:rPr>
    </w:lvl>
    <w:lvl w:ilvl="3" w:tplc="BC8E2AC2" w:tentative="1">
      <w:start w:val="1"/>
      <w:numFmt w:val="bullet"/>
      <w:lvlText w:val="•"/>
      <w:lvlJc w:val="left"/>
      <w:pPr>
        <w:tabs>
          <w:tab w:val="num" w:pos="2880"/>
        </w:tabs>
        <w:ind w:left="2880" w:hanging="360"/>
      </w:pPr>
      <w:rPr>
        <w:rFonts w:ascii="Arial" w:hAnsi="Arial" w:hint="default"/>
      </w:rPr>
    </w:lvl>
    <w:lvl w:ilvl="4" w:tplc="A130603C" w:tentative="1">
      <w:start w:val="1"/>
      <w:numFmt w:val="bullet"/>
      <w:lvlText w:val="•"/>
      <w:lvlJc w:val="left"/>
      <w:pPr>
        <w:tabs>
          <w:tab w:val="num" w:pos="3600"/>
        </w:tabs>
        <w:ind w:left="3600" w:hanging="360"/>
      </w:pPr>
      <w:rPr>
        <w:rFonts w:ascii="Arial" w:hAnsi="Arial" w:hint="default"/>
      </w:rPr>
    </w:lvl>
    <w:lvl w:ilvl="5" w:tplc="347CF7B6" w:tentative="1">
      <w:start w:val="1"/>
      <w:numFmt w:val="bullet"/>
      <w:lvlText w:val="•"/>
      <w:lvlJc w:val="left"/>
      <w:pPr>
        <w:tabs>
          <w:tab w:val="num" w:pos="4320"/>
        </w:tabs>
        <w:ind w:left="4320" w:hanging="360"/>
      </w:pPr>
      <w:rPr>
        <w:rFonts w:ascii="Arial" w:hAnsi="Arial" w:hint="default"/>
      </w:rPr>
    </w:lvl>
    <w:lvl w:ilvl="6" w:tplc="9580CE46" w:tentative="1">
      <w:start w:val="1"/>
      <w:numFmt w:val="bullet"/>
      <w:lvlText w:val="•"/>
      <w:lvlJc w:val="left"/>
      <w:pPr>
        <w:tabs>
          <w:tab w:val="num" w:pos="5040"/>
        </w:tabs>
        <w:ind w:left="5040" w:hanging="360"/>
      </w:pPr>
      <w:rPr>
        <w:rFonts w:ascii="Arial" w:hAnsi="Arial" w:hint="default"/>
      </w:rPr>
    </w:lvl>
    <w:lvl w:ilvl="7" w:tplc="1304CE74" w:tentative="1">
      <w:start w:val="1"/>
      <w:numFmt w:val="bullet"/>
      <w:lvlText w:val="•"/>
      <w:lvlJc w:val="left"/>
      <w:pPr>
        <w:tabs>
          <w:tab w:val="num" w:pos="5760"/>
        </w:tabs>
        <w:ind w:left="5760" w:hanging="360"/>
      </w:pPr>
      <w:rPr>
        <w:rFonts w:ascii="Arial" w:hAnsi="Arial" w:hint="default"/>
      </w:rPr>
    </w:lvl>
    <w:lvl w:ilvl="8" w:tplc="EBA2601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03721B"/>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7605102"/>
    <w:multiLevelType w:val="hybridMultilevel"/>
    <w:tmpl w:val="FEA4A058"/>
    <w:lvl w:ilvl="0" w:tplc="100A0001">
      <w:start w:val="1"/>
      <w:numFmt w:val="bullet"/>
      <w:lvlText w:val=""/>
      <w:lvlJc w:val="left"/>
      <w:pPr>
        <w:ind w:left="1068" w:hanging="360"/>
      </w:pPr>
      <w:rPr>
        <w:rFonts w:ascii="Symbol" w:hAnsi="Symbol"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10" w15:restartNumberingAfterBreak="0">
    <w:nsid w:val="2B756652"/>
    <w:multiLevelType w:val="hybridMultilevel"/>
    <w:tmpl w:val="4C3CF3C6"/>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2CEE5E3C"/>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3D32D9"/>
    <w:multiLevelType w:val="hybridMultilevel"/>
    <w:tmpl w:val="D6B8F3D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2D5A09C0"/>
    <w:multiLevelType w:val="hybridMultilevel"/>
    <w:tmpl w:val="92F073A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4" w15:restartNumberingAfterBreak="0">
    <w:nsid w:val="2F3A7D94"/>
    <w:multiLevelType w:val="hybridMultilevel"/>
    <w:tmpl w:val="D4A44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1A24AD2"/>
    <w:multiLevelType w:val="multilevel"/>
    <w:tmpl w:val="0C0A0025"/>
    <w:lvl w:ilvl="0">
      <w:start w:val="1"/>
      <w:numFmt w:val="decimal"/>
      <w:pStyle w:val="Ttulo11"/>
      <w:lvlText w:val="%1"/>
      <w:lvlJc w:val="left"/>
      <w:pPr>
        <w:ind w:left="432" w:hanging="432"/>
      </w:pPr>
    </w:lvl>
    <w:lvl w:ilvl="1">
      <w:start w:val="1"/>
      <w:numFmt w:val="decimal"/>
      <w:pStyle w:val="Ttulo21"/>
      <w:lvlText w:val="%1.%2"/>
      <w:lvlJc w:val="left"/>
      <w:pPr>
        <w:ind w:left="576" w:hanging="576"/>
      </w:pPr>
    </w:lvl>
    <w:lvl w:ilvl="2">
      <w:start w:val="1"/>
      <w:numFmt w:val="decimal"/>
      <w:pStyle w:val="Ttulo31"/>
      <w:lvlText w:val="%1.%2.%3"/>
      <w:lvlJc w:val="left"/>
      <w:pPr>
        <w:ind w:left="720" w:hanging="720"/>
      </w:pPr>
    </w:lvl>
    <w:lvl w:ilvl="3">
      <w:start w:val="1"/>
      <w:numFmt w:val="decimal"/>
      <w:pStyle w:val="Ttulo41"/>
      <w:lvlText w:val="%1.%2.%3.%4"/>
      <w:lvlJc w:val="left"/>
      <w:pPr>
        <w:ind w:left="864" w:hanging="864"/>
      </w:pPr>
    </w:lvl>
    <w:lvl w:ilvl="4">
      <w:start w:val="1"/>
      <w:numFmt w:val="decimal"/>
      <w:pStyle w:val="Ttulo51"/>
      <w:lvlText w:val="%1.%2.%3.%4.%5"/>
      <w:lvlJc w:val="left"/>
      <w:pPr>
        <w:ind w:left="1008" w:hanging="1008"/>
      </w:pPr>
    </w:lvl>
    <w:lvl w:ilvl="5">
      <w:start w:val="1"/>
      <w:numFmt w:val="decimal"/>
      <w:pStyle w:val="Ttulo61"/>
      <w:lvlText w:val="%1.%2.%3.%4.%5.%6"/>
      <w:lvlJc w:val="left"/>
      <w:pPr>
        <w:ind w:left="1152" w:hanging="1152"/>
      </w:pPr>
    </w:lvl>
    <w:lvl w:ilvl="6">
      <w:start w:val="1"/>
      <w:numFmt w:val="decimal"/>
      <w:pStyle w:val="Ttulo71"/>
      <w:lvlText w:val="%1.%2.%3.%4.%5.%6.%7"/>
      <w:lvlJc w:val="left"/>
      <w:pPr>
        <w:ind w:left="1296" w:hanging="1296"/>
      </w:pPr>
    </w:lvl>
    <w:lvl w:ilvl="7">
      <w:start w:val="1"/>
      <w:numFmt w:val="decimal"/>
      <w:pStyle w:val="Ttulo81"/>
      <w:lvlText w:val="%1.%2.%3.%4.%5.%6.%7.%8"/>
      <w:lvlJc w:val="left"/>
      <w:pPr>
        <w:ind w:left="1440" w:hanging="1440"/>
      </w:pPr>
    </w:lvl>
    <w:lvl w:ilvl="8">
      <w:start w:val="1"/>
      <w:numFmt w:val="decimal"/>
      <w:pStyle w:val="Ttulo91"/>
      <w:lvlText w:val="%1.%2.%3.%4.%5.%6.%7.%8.%9"/>
      <w:lvlJc w:val="left"/>
      <w:pPr>
        <w:ind w:left="1584" w:hanging="1584"/>
      </w:pPr>
    </w:lvl>
  </w:abstractNum>
  <w:abstractNum w:abstractNumId="16" w15:restartNumberingAfterBreak="0">
    <w:nsid w:val="38E61988"/>
    <w:multiLevelType w:val="hybridMultilevel"/>
    <w:tmpl w:val="7D04A81C"/>
    <w:lvl w:ilvl="0" w:tplc="A1F83D42">
      <w:start w:val="1"/>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7" w15:restartNumberingAfterBreak="0">
    <w:nsid w:val="39344CF8"/>
    <w:multiLevelType w:val="hybridMultilevel"/>
    <w:tmpl w:val="39F4D9A0"/>
    <w:lvl w:ilvl="0" w:tplc="100A0017">
      <w:start w:val="1"/>
      <w:numFmt w:val="lowerLetter"/>
      <w:lvlText w:val="%1)"/>
      <w:lvlJc w:val="left"/>
      <w:pPr>
        <w:tabs>
          <w:tab w:val="num" w:pos="1428"/>
        </w:tabs>
        <w:ind w:left="1428" w:hanging="360"/>
      </w:pPr>
      <w:rPr>
        <w:rFonts w:hint="default"/>
      </w:rPr>
    </w:lvl>
    <w:lvl w:ilvl="1" w:tplc="88A822C4" w:tentative="1">
      <w:start w:val="1"/>
      <w:numFmt w:val="bullet"/>
      <w:lvlText w:val="•"/>
      <w:lvlJc w:val="left"/>
      <w:pPr>
        <w:tabs>
          <w:tab w:val="num" w:pos="2148"/>
        </w:tabs>
        <w:ind w:left="2148" w:hanging="360"/>
      </w:pPr>
      <w:rPr>
        <w:rFonts w:ascii="Arial" w:hAnsi="Arial" w:hint="default"/>
      </w:rPr>
    </w:lvl>
    <w:lvl w:ilvl="2" w:tplc="0A663566" w:tentative="1">
      <w:start w:val="1"/>
      <w:numFmt w:val="bullet"/>
      <w:lvlText w:val="•"/>
      <w:lvlJc w:val="left"/>
      <w:pPr>
        <w:tabs>
          <w:tab w:val="num" w:pos="2868"/>
        </w:tabs>
        <w:ind w:left="2868" w:hanging="360"/>
      </w:pPr>
      <w:rPr>
        <w:rFonts w:ascii="Arial" w:hAnsi="Arial" w:hint="default"/>
      </w:rPr>
    </w:lvl>
    <w:lvl w:ilvl="3" w:tplc="FC0AC50E" w:tentative="1">
      <w:start w:val="1"/>
      <w:numFmt w:val="bullet"/>
      <w:lvlText w:val="•"/>
      <w:lvlJc w:val="left"/>
      <w:pPr>
        <w:tabs>
          <w:tab w:val="num" w:pos="3588"/>
        </w:tabs>
        <w:ind w:left="3588" w:hanging="360"/>
      </w:pPr>
      <w:rPr>
        <w:rFonts w:ascii="Arial" w:hAnsi="Arial" w:hint="default"/>
      </w:rPr>
    </w:lvl>
    <w:lvl w:ilvl="4" w:tplc="2F2C20D6" w:tentative="1">
      <w:start w:val="1"/>
      <w:numFmt w:val="bullet"/>
      <w:lvlText w:val="•"/>
      <w:lvlJc w:val="left"/>
      <w:pPr>
        <w:tabs>
          <w:tab w:val="num" w:pos="4308"/>
        </w:tabs>
        <w:ind w:left="4308" w:hanging="360"/>
      </w:pPr>
      <w:rPr>
        <w:rFonts w:ascii="Arial" w:hAnsi="Arial" w:hint="default"/>
      </w:rPr>
    </w:lvl>
    <w:lvl w:ilvl="5" w:tplc="3D765614" w:tentative="1">
      <w:start w:val="1"/>
      <w:numFmt w:val="bullet"/>
      <w:lvlText w:val="•"/>
      <w:lvlJc w:val="left"/>
      <w:pPr>
        <w:tabs>
          <w:tab w:val="num" w:pos="5028"/>
        </w:tabs>
        <w:ind w:left="5028" w:hanging="360"/>
      </w:pPr>
      <w:rPr>
        <w:rFonts w:ascii="Arial" w:hAnsi="Arial" w:hint="default"/>
      </w:rPr>
    </w:lvl>
    <w:lvl w:ilvl="6" w:tplc="D7B4C0EE" w:tentative="1">
      <w:start w:val="1"/>
      <w:numFmt w:val="bullet"/>
      <w:lvlText w:val="•"/>
      <w:lvlJc w:val="left"/>
      <w:pPr>
        <w:tabs>
          <w:tab w:val="num" w:pos="5748"/>
        </w:tabs>
        <w:ind w:left="5748" w:hanging="360"/>
      </w:pPr>
      <w:rPr>
        <w:rFonts w:ascii="Arial" w:hAnsi="Arial" w:hint="default"/>
      </w:rPr>
    </w:lvl>
    <w:lvl w:ilvl="7" w:tplc="FFBC65E4" w:tentative="1">
      <w:start w:val="1"/>
      <w:numFmt w:val="bullet"/>
      <w:lvlText w:val="•"/>
      <w:lvlJc w:val="left"/>
      <w:pPr>
        <w:tabs>
          <w:tab w:val="num" w:pos="6468"/>
        </w:tabs>
        <w:ind w:left="6468" w:hanging="360"/>
      </w:pPr>
      <w:rPr>
        <w:rFonts w:ascii="Arial" w:hAnsi="Arial" w:hint="default"/>
      </w:rPr>
    </w:lvl>
    <w:lvl w:ilvl="8" w:tplc="7AD008E2" w:tentative="1">
      <w:start w:val="1"/>
      <w:numFmt w:val="bullet"/>
      <w:lvlText w:val="•"/>
      <w:lvlJc w:val="left"/>
      <w:pPr>
        <w:tabs>
          <w:tab w:val="num" w:pos="7188"/>
        </w:tabs>
        <w:ind w:left="7188" w:hanging="360"/>
      </w:pPr>
      <w:rPr>
        <w:rFonts w:ascii="Arial" w:hAnsi="Arial" w:hint="default"/>
      </w:rPr>
    </w:lvl>
  </w:abstractNum>
  <w:abstractNum w:abstractNumId="18" w15:restartNumberingAfterBreak="0">
    <w:nsid w:val="3F4E4675"/>
    <w:multiLevelType w:val="hybridMultilevel"/>
    <w:tmpl w:val="592A14C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41F878AD"/>
    <w:multiLevelType w:val="multilevel"/>
    <w:tmpl w:val="6BE6BB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3772FF"/>
    <w:multiLevelType w:val="multilevel"/>
    <w:tmpl w:val="8960C1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455B36"/>
    <w:multiLevelType w:val="hybridMultilevel"/>
    <w:tmpl w:val="2F9A9654"/>
    <w:lvl w:ilvl="0" w:tplc="DB6E8538">
      <w:start w:val="1"/>
      <w:numFmt w:val="low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50587C29"/>
    <w:multiLevelType w:val="hybridMultilevel"/>
    <w:tmpl w:val="21D2FB3A"/>
    <w:lvl w:ilvl="0" w:tplc="100A0017">
      <w:start w:val="1"/>
      <w:numFmt w:val="lowerLetter"/>
      <w:lvlText w:val="%1)"/>
      <w:lvlJc w:val="left"/>
      <w:pPr>
        <w:ind w:left="1776" w:hanging="360"/>
      </w:p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3" w15:restartNumberingAfterBreak="0">
    <w:nsid w:val="523C077D"/>
    <w:multiLevelType w:val="multilevel"/>
    <w:tmpl w:val="4322046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5777B9E"/>
    <w:multiLevelType w:val="hybridMultilevel"/>
    <w:tmpl w:val="3F00470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5" w15:restartNumberingAfterBreak="0">
    <w:nsid w:val="582A1421"/>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8741E90"/>
    <w:multiLevelType w:val="multilevel"/>
    <w:tmpl w:val="58DEA22A"/>
    <w:lvl w:ilvl="0">
      <w:start w:val="1"/>
      <w:numFmt w:val="upperRoman"/>
      <w:lvlText w:val="%1."/>
      <w:lvlJc w:val="left"/>
      <w:pPr>
        <w:ind w:left="720" w:hanging="720"/>
      </w:pPr>
      <w:rPr>
        <w:rFonts w:hint="default"/>
      </w:rPr>
    </w:lvl>
    <w:lvl w:ilvl="1">
      <w:start w:val="3"/>
      <w:numFmt w:val="decimal"/>
      <w:isLgl/>
      <w:lvlText w:val="%1.%2"/>
      <w:lvlJc w:val="left"/>
      <w:pPr>
        <w:ind w:left="660" w:hanging="6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8B02801"/>
    <w:multiLevelType w:val="hybridMultilevel"/>
    <w:tmpl w:val="CDF23244"/>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8" w15:restartNumberingAfterBreak="0">
    <w:nsid w:val="59DE5F78"/>
    <w:multiLevelType w:val="multilevel"/>
    <w:tmpl w:val="B63CCFBE"/>
    <w:lvl w:ilvl="0">
      <w:start w:val="1"/>
      <w:numFmt w:val="decimal"/>
      <w:lvlText w:val="%1"/>
      <w:lvlJc w:val="left"/>
      <w:pPr>
        <w:ind w:left="360" w:hanging="360"/>
      </w:pPr>
      <w:rPr>
        <w:rFonts w:hint="default"/>
      </w:rPr>
    </w:lvl>
    <w:lvl w:ilvl="1">
      <w:start w:val="1"/>
      <w:numFmt w:val="decimal"/>
      <w:lvlText w:val="4.%2"/>
      <w:lvlJc w:val="left"/>
      <w:pPr>
        <w:ind w:left="360" w:hanging="360"/>
      </w:pPr>
      <w:rPr>
        <w:rFonts w:hint="default"/>
        <w:b/>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C403D22"/>
    <w:multiLevelType w:val="multilevel"/>
    <w:tmpl w:val="1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CE5754F"/>
    <w:multiLevelType w:val="hybridMultilevel"/>
    <w:tmpl w:val="66D0A5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1" w15:restartNumberingAfterBreak="0">
    <w:nsid w:val="5D1A7293"/>
    <w:multiLevelType w:val="hybridMultilevel"/>
    <w:tmpl w:val="574693B0"/>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5E9B22BF"/>
    <w:multiLevelType w:val="hybridMultilevel"/>
    <w:tmpl w:val="7D0EE6BA"/>
    <w:lvl w:ilvl="0" w:tplc="FD3A4A76">
      <w:start w:val="1"/>
      <w:numFmt w:val="lowerLetter"/>
      <w:lvlText w:val="%1."/>
      <w:lvlJc w:val="left"/>
      <w:pPr>
        <w:ind w:left="720" w:hanging="360"/>
      </w:pPr>
      <w:rPr>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5E9E267F"/>
    <w:multiLevelType w:val="hybridMultilevel"/>
    <w:tmpl w:val="B18CB370"/>
    <w:lvl w:ilvl="0" w:tplc="100A000F">
      <w:start w:val="1"/>
      <w:numFmt w:val="decimal"/>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4" w15:restartNumberingAfterBreak="0">
    <w:nsid w:val="627D15BE"/>
    <w:multiLevelType w:val="multilevel"/>
    <w:tmpl w:val="E6A25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sz w:val="22"/>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29C3A2A"/>
    <w:multiLevelType w:val="hybridMultilevel"/>
    <w:tmpl w:val="36860404"/>
    <w:lvl w:ilvl="0" w:tplc="46F0C8B4">
      <w:start w:val="1"/>
      <w:numFmt w:val="bullet"/>
      <w:lvlText w:val="•"/>
      <w:lvlJc w:val="left"/>
      <w:pPr>
        <w:tabs>
          <w:tab w:val="num" w:pos="720"/>
        </w:tabs>
        <w:ind w:left="720" w:hanging="360"/>
      </w:pPr>
      <w:rPr>
        <w:rFonts w:ascii="Arial" w:hAnsi="Arial" w:hint="default"/>
      </w:rPr>
    </w:lvl>
    <w:lvl w:ilvl="1" w:tplc="3640B6EE">
      <w:start w:val="82"/>
      <w:numFmt w:val="bullet"/>
      <w:lvlText w:val=""/>
      <w:lvlJc w:val="left"/>
      <w:pPr>
        <w:tabs>
          <w:tab w:val="num" w:pos="1440"/>
        </w:tabs>
        <w:ind w:left="1440" w:hanging="360"/>
      </w:pPr>
      <w:rPr>
        <w:rFonts w:ascii="Wingdings" w:hAnsi="Wingdings" w:hint="default"/>
      </w:rPr>
    </w:lvl>
    <w:lvl w:ilvl="2" w:tplc="803E46F8">
      <w:start w:val="82"/>
      <w:numFmt w:val="bullet"/>
      <w:lvlText w:val=""/>
      <w:lvlJc w:val="left"/>
      <w:pPr>
        <w:tabs>
          <w:tab w:val="num" w:pos="2160"/>
        </w:tabs>
        <w:ind w:left="2160" w:hanging="360"/>
      </w:pPr>
      <w:rPr>
        <w:rFonts w:ascii="Wingdings" w:hAnsi="Wingdings" w:hint="default"/>
      </w:rPr>
    </w:lvl>
    <w:lvl w:ilvl="3" w:tplc="E9BEBE16" w:tentative="1">
      <w:start w:val="1"/>
      <w:numFmt w:val="bullet"/>
      <w:lvlText w:val="•"/>
      <w:lvlJc w:val="left"/>
      <w:pPr>
        <w:tabs>
          <w:tab w:val="num" w:pos="2880"/>
        </w:tabs>
        <w:ind w:left="2880" w:hanging="360"/>
      </w:pPr>
      <w:rPr>
        <w:rFonts w:ascii="Arial" w:hAnsi="Arial" w:hint="default"/>
      </w:rPr>
    </w:lvl>
    <w:lvl w:ilvl="4" w:tplc="E7928B86" w:tentative="1">
      <w:start w:val="1"/>
      <w:numFmt w:val="bullet"/>
      <w:lvlText w:val="•"/>
      <w:lvlJc w:val="left"/>
      <w:pPr>
        <w:tabs>
          <w:tab w:val="num" w:pos="3600"/>
        </w:tabs>
        <w:ind w:left="3600" w:hanging="360"/>
      </w:pPr>
      <w:rPr>
        <w:rFonts w:ascii="Arial" w:hAnsi="Arial" w:hint="default"/>
      </w:rPr>
    </w:lvl>
    <w:lvl w:ilvl="5" w:tplc="FA6205C2" w:tentative="1">
      <w:start w:val="1"/>
      <w:numFmt w:val="bullet"/>
      <w:lvlText w:val="•"/>
      <w:lvlJc w:val="left"/>
      <w:pPr>
        <w:tabs>
          <w:tab w:val="num" w:pos="4320"/>
        </w:tabs>
        <w:ind w:left="4320" w:hanging="360"/>
      </w:pPr>
      <w:rPr>
        <w:rFonts w:ascii="Arial" w:hAnsi="Arial" w:hint="default"/>
      </w:rPr>
    </w:lvl>
    <w:lvl w:ilvl="6" w:tplc="3B56D9A4" w:tentative="1">
      <w:start w:val="1"/>
      <w:numFmt w:val="bullet"/>
      <w:lvlText w:val="•"/>
      <w:lvlJc w:val="left"/>
      <w:pPr>
        <w:tabs>
          <w:tab w:val="num" w:pos="5040"/>
        </w:tabs>
        <w:ind w:left="5040" w:hanging="360"/>
      </w:pPr>
      <w:rPr>
        <w:rFonts w:ascii="Arial" w:hAnsi="Arial" w:hint="default"/>
      </w:rPr>
    </w:lvl>
    <w:lvl w:ilvl="7" w:tplc="FF32ECCC" w:tentative="1">
      <w:start w:val="1"/>
      <w:numFmt w:val="bullet"/>
      <w:lvlText w:val="•"/>
      <w:lvlJc w:val="left"/>
      <w:pPr>
        <w:tabs>
          <w:tab w:val="num" w:pos="5760"/>
        </w:tabs>
        <w:ind w:left="5760" w:hanging="360"/>
      </w:pPr>
      <w:rPr>
        <w:rFonts w:ascii="Arial" w:hAnsi="Arial" w:hint="default"/>
      </w:rPr>
    </w:lvl>
    <w:lvl w:ilvl="8" w:tplc="DE920C2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3E5119"/>
    <w:multiLevelType w:val="hybridMultilevel"/>
    <w:tmpl w:val="D05E2C2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7" w15:restartNumberingAfterBreak="0">
    <w:nsid w:val="70CB5DA4"/>
    <w:multiLevelType w:val="hybridMultilevel"/>
    <w:tmpl w:val="E174D1C4"/>
    <w:lvl w:ilvl="0" w:tplc="80D2798C">
      <w:start w:val="1"/>
      <w:numFmt w:val="decimal"/>
      <w:lvlText w:val="%1."/>
      <w:lvlJc w:val="left"/>
      <w:pPr>
        <w:ind w:left="720" w:hanging="360"/>
      </w:pPr>
      <w:rPr>
        <w:b/>
      </w:rPr>
    </w:lvl>
    <w:lvl w:ilvl="1" w:tplc="100A0017">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8" w15:restartNumberingAfterBreak="0">
    <w:nsid w:val="7336333D"/>
    <w:multiLevelType w:val="hybridMultilevel"/>
    <w:tmpl w:val="C3B0B7D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9" w15:restartNumberingAfterBreak="0">
    <w:nsid w:val="73985C45"/>
    <w:multiLevelType w:val="hybridMultilevel"/>
    <w:tmpl w:val="0C14AC04"/>
    <w:lvl w:ilvl="0" w:tplc="100A0017">
      <w:start w:val="1"/>
      <w:numFmt w:val="lowerLetter"/>
      <w:lvlText w:val="%1)"/>
      <w:lvlJc w:val="left"/>
      <w:pPr>
        <w:ind w:left="1068" w:hanging="360"/>
      </w:p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40" w15:restartNumberingAfterBreak="0">
    <w:nsid w:val="75050691"/>
    <w:multiLevelType w:val="hybridMultilevel"/>
    <w:tmpl w:val="ED325860"/>
    <w:lvl w:ilvl="0" w:tplc="BDAE2E86">
      <w:start w:val="1"/>
      <w:numFmt w:val="bullet"/>
      <w:lvlText w:val=""/>
      <w:lvlJc w:val="left"/>
      <w:pPr>
        <w:ind w:left="720" w:hanging="360"/>
      </w:pPr>
      <w:rPr>
        <w:rFonts w:ascii="Symbol" w:hAnsi="Symbol" w:hint="default"/>
        <w:color w:val="auto"/>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1" w15:restartNumberingAfterBreak="0">
    <w:nsid w:val="7BD86473"/>
    <w:multiLevelType w:val="hybridMultilevel"/>
    <w:tmpl w:val="AFA85F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2" w15:restartNumberingAfterBreak="0">
    <w:nsid w:val="7E490913"/>
    <w:multiLevelType w:val="hybridMultilevel"/>
    <w:tmpl w:val="8D88FC8E"/>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43" w15:restartNumberingAfterBreak="0">
    <w:nsid w:val="7FC208F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08434459">
    <w:abstractNumId w:val="26"/>
  </w:num>
  <w:num w:numId="2" w16cid:durableId="1341814923">
    <w:abstractNumId w:val="24"/>
  </w:num>
  <w:num w:numId="3" w16cid:durableId="380128868">
    <w:abstractNumId w:val="13"/>
  </w:num>
  <w:num w:numId="4" w16cid:durableId="1190601348">
    <w:abstractNumId w:val="12"/>
  </w:num>
  <w:num w:numId="5" w16cid:durableId="656110732">
    <w:abstractNumId w:val="30"/>
  </w:num>
  <w:num w:numId="6" w16cid:durableId="1487477923">
    <w:abstractNumId w:val="41"/>
  </w:num>
  <w:num w:numId="7" w16cid:durableId="192768893">
    <w:abstractNumId w:val="31"/>
  </w:num>
  <w:num w:numId="8" w16cid:durableId="407922111">
    <w:abstractNumId w:val="4"/>
  </w:num>
  <w:num w:numId="9" w16cid:durableId="358238432">
    <w:abstractNumId w:val="3"/>
  </w:num>
  <w:num w:numId="10" w16cid:durableId="2045404599">
    <w:abstractNumId w:val="19"/>
  </w:num>
  <w:num w:numId="11" w16cid:durableId="1141507676">
    <w:abstractNumId w:val="20"/>
  </w:num>
  <w:num w:numId="12" w16cid:durableId="1835678445">
    <w:abstractNumId w:val="23"/>
  </w:num>
  <w:num w:numId="13" w16cid:durableId="1619218670">
    <w:abstractNumId w:val="32"/>
  </w:num>
  <w:num w:numId="14" w16cid:durableId="1573661286">
    <w:abstractNumId w:val="27"/>
  </w:num>
  <w:num w:numId="15" w16cid:durableId="1159659657">
    <w:abstractNumId w:val="7"/>
  </w:num>
  <w:num w:numId="16" w16cid:durableId="1838228296">
    <w:abstractNumId w:val="0"/>
  </w:num>
  <w:num w:numId="17" w16cid:durableId="1372455229">
    <w:abstractNumId w:val="17"/>
  </w:num>
  <w:num w:numId="18" w16cid:durableId="800345454">
    <w:abstractNumId w:val="22"/>
  </w:num>
  <w:num w:numId="19" w16cid:durableId="1110248042">
    <w:abstractNumId w:val="35"/>
  </w:num>
  <w:num w:numId="20" w16cid:durableId="594872999">
    <w:abstractNumId w:val="16"/>
  </w:num>
  <w:num w:numId="21" w16cid:durableId="1193807039">
    <w:abstractNumId w:val="37"/>
  </w:num>
  <w:num w:numId="22" w16cid:durableId="141697024">
    <w:abstractNumId w:val="39"/>
  </w:num>
  <w:num w:numId="23" w16cid:durableId="738744568">
    <w:abstractNumId w:val="15"/>
  </w:num>
  <w:num w:numId="24" w16cid:durableId="1403527820">
    <w:abstractNumId w:val="15"/>
  </w:num>
  <w:num w:numId="25" w16cid:durableId="1502424656">
    <w:abstractNumId w:val="9"/>
  </w:num>
  <w:num w:numId="26" w16cid:durableId="1164247441">
    <w:abstractNumId w:val="2"/>
  </w:num>
  <w:num w:numId="27" w16cid:durableId="1522892661">
    <w:abstractNumId w:val="36"/>
  </w:num>
  <w:num w:numId="28" w16cid:durableId="1026176346">
    <w:abstractNumId w:val="10"/>
  </w:num>
  <w:num w:numId="29" w16cid:durableId="1719276543">
    <w:abstractNumId w:val="14"/>
  </w:num>
  <w:num w:numId="30" w16cid:durableId="1503737275">
    <w:abstractNumId w:val="40"/>
  </w:num>
  <w:num w:numId="31" w16cid:durableId="524633274">
    <w:abstractNumId w:val="1"/>
  </w:num>
  <w:num w:numId="32" w16cid:durableId="892498867">
    <w:abstractNumId w:val="34"/>
  </w:num>
  <w:num w:numId="33" w16cid:durableId="1201943103">
    <w:abstractNumId w:val="42"/>
  </w:num>
  <w:num w:numId="34" w16cid:durableId="2042045073">
    <w:abstractNumId w:val="18"/>
  </w:num>
  <w:num w:numId="35" w16cid:durableId="1824006096">
    <w:abstractNumId w:val="11"/>
  </w:num>
  <w:num w:numId="36" w16cid:durableId="1799297542">
    <w:abstractNumId w:val="43"/>
  </w:num>
  <w:num w:numId="37" w16cid:durableId="1149327528">
    <w:abstractNumId w:val="33"/>
  </w:num>
  <w:num w:numId="38" w16cid:durableId="10884668">
    <w:abstractNumId w:val="21"/>
  </w:num>
  <w:num w:numId="39" w16cid:durableId="263542301">
    <w:abstractNumId w:val="29"/>
  </w:num>
  <w:num w:numId="40" w16cid:durableId="1735926966">
    <w:abstractNumId w:val="6"/>
  </w:num>
  <w:num w:numId="41" w16cid:durableId="642855651">
    <w:abstractNumId w:val="25"/>
  </w:num>
  <w:num w:numId="42" w16cid:durableId="1645741091">
    <w:abstractNumId w:val="28"/>
  </w:num>
  <w:num w:numId="43" w16cid:durableId="249892341">
    <w:abstractNumId w:val="8"/>
  </w:num>
  <w:num w:numId="44" w16cid:durableId="1070545982">
    <w:abstractNumId w:val="5"/>
  </w:num>
  <w:num w:numId="45" w16cid:durableId="188628508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598"/>
    <w:rsid w:val="000002AE"/>
    <w:rsid w:val="000003CC"/>
    <w:rsid w:val="00000530"/>
    <w:rsid w:val="00000926"/>
    <w:rsid w:val="000013F6"/>
    <w:rsid w:val="0000165C"/>
    <w:rsid w:val="000019FB"/>
    <w:rsid w:val="00001B7A"/>
    <w:rsid w:val="00001ED4"/>
    <w:rsid w:val="00002881"/>
    <w:rsid w:val="000032AE"/>
    <w:rsid w:val="000038B1"/>
    <w:rsid w:val="00003BA5"/>
    <w:rsid w:val="000045FB"/>
    <w:rsid w:val="00004F16"/>
    <w:rsid w:val="00005EB8"/>
    <w:rsid w:val="0000665E"/>
    <w:rsid w:val="000073D2"/>
    <w:rsid w:val="00007F68"/>
    <w:rsid w:val="00010D58"/>
    <w:rsid w:val="000115A2"/>
    <w:rsid w:val="000121A8"/>
    <w:rsid w:val="00012ACD"/>
    <w:rsid w:val="00012FB4"/>
    <w:rsid w:val="0001329E"/>
    <w:rsid w:val="000134F1"/>
    <w:rsid w:val="00013BEC"/>
    <w:rsid w:val="00013C44"/>
    <w:rsid w:val="00013ECF"/>
    <w:rsid w:val="00013FC9"/>
    <w:rsid w:val="00014246"/>
    <w:rsid w:val="0001429E"/>
    <w:rsid w:val="00014EAD"/>
    <w:rsid w:val="00015107"/>
    <w:rsid w:val="00015370"/>
    <w:rsid w:val="00015674"/>
    <w:rsid w:val="00016805"/>
    <w:rsid w:val="00016CEF"/>
    <w:rsid w:val="00017427"/>
    <w:rsid w:val="00017D51"/>
    <w:rsid w:val="00020904"/>
    <w:rsid w:val="0002091B"/>
    <w:rsid w:val="00020D03"/>
    <w:rsid w:val="00020F69"/>
    <w:rsid w:val="000212B0"/>
    <w:rsid w:val="0002188F"/>
    <w:rsid w:val="00021FD5"/>
    <w:rsid w:val="00023745"/>
    <w:rsid w:val="000238F3"/>
    <w:rsid w:val="00023981"/>
    <w:rsid w:val="00023ADD"/>
    <w:rsid w:val="00023DC8"/>
    <w:rsid w:val="00024165"/>
    <w:rsid w:val="00024BF7"/>
    <w:rsid w:val="00024DE4"/>
    <w:rsid w:val="00024FF6"/>
    <w:rsid w:val="00025456"/>
    <w:rsid w:val="00025B90"/>
    <w:rsid w:val="0002670B"/>
    <w:rsid w:val="000267E3"/>
    <w:rsid w:val="00026985"/>
    <w:rsid w:val="00027A8F"/>
    <w:rsid w:val="000306FE"/>
    <w:rsid w:val="00031937"/>
    <w:rsid w:val="00031A96"/>
    <w:rsid w:val="00032230"/>
    <w:rsid w:val="0003257D"/>
    <w:rsid w:val="000326D8"/>
    <w:rsid w:val="00032B26"/>
    <w:rsid w:val="00033312"/>
    <w:rsid w:val="00033638"/>
    <w:rsid w:val="00033A52"/>
    <w:rsid w:val="00033B15"/>
    <w:rsid w:val="00033DB1"/>
    <w:rsid w:val="000347FD"/>
    <w:rsid w:val="00035952"/>
    <w:rsid w:val="00035C14"/>
    <w:rsid w:val="00035E51"/>
    <w:rsid w:val="00036843"/>
    <w:rsid w:val="000369C8"/>
    <w:rsid w:val="0004120F"/>
    <w:rsid w:val="0004212A"/>
    <w:rsid w:val="00042669"/>
    <w:rsid w:val="00042AA3"/>
    <w:rsid w:val="00043B88"/>
    <w:rsid w:val="000441F1"/>
    <w:rsid w:val="000449B7"/>
    <w:rsid w:val="00044AF8"/>
    <w:rsid w:val="000453CA"/>
    <w:rsid w:val="00045570"/>
    <w:rsid w:val="00045861"/>
    <w:rsid w:val="00045CD6"/>
    <w:rsid w:val="00046004"/>
    <w:rsid w:val="00046060"/>
    <w:rsid w:val="00046F9F"/>
    <w:rsid w:val="000476BB"/>
    <w:rsid w:val="000476F2"/>
    <w:rsid w:val="00047AF2"/>
    <w:rsid w:val="000500D6"/>
    <w:rsid w:val="00050721"/>
    <w:rsid w:val="00051734"/>
    <w:rsid w:val="00051879"/>
    <w:rsid w:val="0005215A"/>
    <w:rsid w:val="00053A65"/>
    <w:rsid w:val="00053AD6"/>
    <w:rsid w:val="00053DB7"/>
    <w:rsid w:val="00053F58"/>
    <w:rsid w:val="0005529E"/>
    <w:rsid w:val="00055614"/>
    <w:rsid w:val="00055D08"/>
    <w:rsid w:val="00055DD0"/>
    <w:rsid w:val="00056E8E"/>
    <w:rsid w:val="00057827"/>
    <w:rsid w:val="00057B7D"/>
    <w:rsid w:val="00057EB8"/>
    <w:rsid w:val="000617F8"/>
    <w:rsid w:val="00061975"/>
    <w:rsid w:val="00061E2E"/>
    <w:rsid w:val="0006231C"/>
    <w:rsid w:val="00062CBA"/>
    <w:rsid w:val="00062E16"/>
    <w:rsid w:val="00062ED8"/>
    <w:rsid w:val="00063364"/>
    <w:rsid w:val="00063A1D"/>
    <w:rsid w:val="00063CB5"/>
    <w:rsid w:val="000642AF"/>
    <w:rsid w:val="0006477B"/>
    <w:rsid w:val="00064BA9"/>
    <w:rsid w:val="00064EA8"/>
    <w:rsid w:val="00065259"/>
    <w:rsid w:val="00065451"/>
    <w:rsid w:val="000655A9"/>
    <w:rsid w:val="00065991"/>
    <w:rsid w:val="00065C24"/>
    <w:rsid w:val="00066095"/>
    <w:rsid w:val="00066286"/>
    <w:rsid w:val="0006680E"/>
    <w:rsid w:val="00066CD1"/>
    <w:rsid w:val="00067459"/>
    <w:rsid w:val="00067741"/>
    <w:rsid w:val="000678AC"/>
    <w:rsid w:val="00067B4A"/>
    <w:rsid w:val="00070108"/>
    <w:rsid w:val="00070552"/>
    <w:rsid w:val="000705C1"/>
    <w:rsid w:val="000707A3"/>
    <w:rsid w:val="00070899"/>
    <w:rsid w:val="00070A2D"/>
    <w:rsid w:val="00071109"/>
    <w:rsid w:val="00071810"/>
    <w:rsid w:val="00071B55"/>
    <w:rsid w:val="00071CAF"/>
    <w:rsid w:val="00071DD6"/>
    <w:rsid w:val="00072136"/>
    <w:rsid w:val="00072BAA"/>
    <w:rsid w:val="00072C8D"/>
    <w:rsid w:val="0007319D"/>
    <w:rsid w:val="00073457"/>
    <w:rsid w:val="000737A4"/>
    <w:rsid w:val="000741A3"/>
    <w:rsid w:val="00074337"/>
    <w:rsid w:val="00074476"/>
    <w:rsid w:val="00074844"/>
    <w:rsid w:val="00074C38"/>
    <w:rsid w:val="00075216"/>
    <w:rsid w:val="000754D5"/>
    <w:rsid w:val="00076415"/>
    <w:rsid w:val="00080F11"/>
    <w:rsid w:val="00080F5E"/>
    <w:rsid w:val="00081A07"/>
    <w:rsid w:val="00082333"/>
    <w:rsid w:val="000823E4"/>
    <w:rsid w:val="0008278D"/>
    <w:rsid w:val="00082E65"/>
    <w:rsid w:val="00083239"/>
    <w:rsid w:val="000836FF"/>
    <w:rsid w:val="0008380C"/>
    <w:rsid w:val="00083DEF"/>
    <w:rsid w:val="000846BE"/>
    <w:rsid w:val="00084748"/>
    <w:rsid w:val="000852BF"/>
    <w:rsid w:val="000858E9"/>
    <w:rsid w:val="00085E1C"/>
    <w:rsid w:val="0008619F"/>
    <w:rsid w:val="000865AA"/>
    <w:rsid w:val="00086C6E"/>
    <w:rsid w:val="00087430"/>
    <w:rsid w:val="00087551"/>
    <w:rsid w:val="0008775B"/>
    <w:rsid w:val="00087EC1"/>
    <w:rsid w:val="00087EE1"/>
    <w:rsid w:val="00087EFB"/>
    <w:rsid w:val="00090202"/>
    <w:rsid w:val="00090AF4"/>
    <w:rsid w:val="000918BC"/>
    <w:rsid w:val="00091942"/>
    <w:rsid w:val="00091A7F"/>
    <w:rsid w:val="00092A19"/>
    <w:rsid w:val="00093A1B"/>
    <w:rsid w:val="000944FE"/>
    <w:rsid w:val="00094A23"/>
    <w:rsid w:val="0009511C"/>
    <w:rsid w:val="00095331"/>
    <w:rsid w:val="000958AF"/>
    <w:rsid w:val="00096497"/>
    <w:rsid w:val="00096FA6"/>
    <w:rsid w:val="00097862"/>
    <w:rsid w:val="00097889"/>
    <w:rsid w:val="000A1BF3"/>
    <w:rsid w:val="000A2C08"/>
    <w:rsid w:val="000A2D14"/>
    <w:rsid w:val="000A2D19"/>
    <w:rsid w:val="000A2D1D"/>
    <w:rsid w:val="000A424A"/>
    <w:rsid w:val="000A47FE"/>
    <w:rsid w:val="000A5922"/>
    <w:rsid w:val="000A5B5B"/>
    <w:rsid w:val="000A5FC5"/>
    <w:rsid w:val="000A60A1"/>
    <w:rsid w:val="000A6C8D"/>
    <w:rsid w:val="000A74BA"/>
    <w:rsid w:val="000A7E28"/>
    <w:rsid w:val="000B04CE"/>
    <w:rsid w:val="000B057B"/>
    <w:rsid w:val="000B072C"/>
    <w:rsid w:val="000B0FCB"/>
    <w:rsid w:val="000B12F0"/>
    <w:rsid w:val="000B1376"/>
    <w:rsid w:val="000B1C5F"/>
    <w:rsid w:val="000B1E68"/>
    <w:rsid w:val="000B20C3"/>
    <w:rsid w:val="000B2992"/>
    <w:rsid w:val="000B29FE"/>
    <w:rsid w:val="000B2E7A"/>
    <w:rsid w:val="000B346C"/>
    <w:rsid w:val="000B404E"/>
    <w:rsid w:val="000B4083"/>
    <w:rsid w:val="000B4154"/>
    <w:rsid w:val="000B46D9"/>
    <w:rsid w:val="000B4929"/>
    <w:rsid w:val="000B4A3D"/>
    <w:rsid w:val="000B5075"/>
    <w:rsid w:val="000B5CD0"/>
    <w:rsid w:val="000B5E1C"/>
    <w:rsid w:val="000B6143"/>
    <w:rsid w:val="000B6B1B"/>
    <w:rsid w:val="000B76E1"/>
    <w:rsid w:val="000B778D"/>
    <w:rsid w:val="000C0470"/>
    <w:rsid w:val="000C070B"/>
    <w:rsid w:val="000C10D5"/>
    <w:rsid w:val="000C18E5"/>
    <w:rsid w:val="000C1B89"/>
    <w:rsid w:val="000C1CC5"/>
    <w:rsid w:val="000C1F8D"/>
    <w:rsid w:val="000C20CC"/>
    <w:rsid w:val="000C25EB"/>
    <w:rsid w:val="000C27C6"/>
    <w:rsid w:val="000C283B"/>
    <w:rsid w:val="000C3476"/>
    <w:rsid w:val="000C3496"/>
    <w:rsid w:val="000C3E95"/>
    <w:rsid w:val="000C487F"/>
    <w:rsid w:val="000C4AD1"/>
    <w:rsid w:val="000C51BD"/>
    <w:rsid w:val="000C54D3"/>
    <w:rsid w:val="000C5BA6"/>
    <w:rsid w:val="000C5BDD"/>
    <w:rsid w:val="000C7076"/>
    <w:rsid w:val="000C795B"/>
    <w:rsid w:val="000C7961"/>
    <w:rsid w:val="000C7E9B"/>
    <w:rsid w:val="000D0188"/>
    <w:rsid w:val="000D1059"/>
    <w:rsid w:val="000D17AF"/>
    <w:rsid w:val="000D2677"/>
    <w:rsid w:val="000D2952"/>
    <w:rsid w:val="000D29F4"/>
    <w:rsid w:val="000D2CF4"/>
    <w:rsid w:val="000D2D05"/>
    <w:rsid w:val="000D2DE9"/>
    <w:rsid w:val="000D2DF6"/>
    <w:rsid w:val="000D2F4D"/>
    <w:rsid w:val="000D3566"/>
    <w:rsid w:val="000D365F"/>
    <w:rsid w:val="000D4B4D"/>
    <w:rsid w:val="000D4B80"/>
    <w:rsid w:val="000D4CB3"/>
    <w:rsid w:val="000D57BA"/>
    <w:rsid w:val="000D58D6"/>
    <w:rsid w:val="000D5BE8"/>
    <w:rsid w:val="000D734F"/>
    <w:rsid w:val="000D7477"/>
    <w:rsid w:val="000D7805"/>
    <w:rsid w:val="000D7EEB"/>
    <w:rsid w:val="000E058F"/>
    <w:rsid w:val="000E0DAA"/>
    <w:rsid w:val="000E0E1E"/>
    <w:rsid w:val="000E0F3C"/>
    <w:rsid w:val="000E1495"/>
    <w:rsid w:val="000E193E"/>
    <w:rsid w:val="000E3036"/>
    <w:rsid w:val="000E3B60"/>
    <w:rsid w:val="000E3BAE"/>
    <w:rsid w:val="000E3E7A"/>
    <w:rsid w:val="000E488C"/>
    <w:rsid w:val="000E4E2E"/>
    <w:rsid w:val="000E51BC"/>
    <w:rsid w:val="000E5739"/>
    <w:rsid w:val="000E5997"/>
    <w:rsid w:val="000E5A40"/>
    <w:rsid w:val="000E5CCD"/>
    <w:rsid w:val="000E5D0D"/>
    <w:rsid w:val="000E60F8"/>
    <w:rsid w:val="000E6989"/>
    <w:rsid w:val="000E7209"/>
    <w:rsid w:val="000E7387"/>
    <w:rsid w:val="000E79A8"/>
    <w:rsid w:val="000E7AE8"/>
    <w:rsid w:val="000F049B"/>
    <w:rsid w:val="000F058D"/>
    <w:rsid w:val="000F0DA3"/>
    <w:rsid w:val="000F1214"/>
    <w:rsid w:val="000F19C1"/>
    <w:rsid w:val="000F2939"/>
    <w:rsid w:val="000F3450"/>
    <w:rsid w:val="000F3942"/>
    <w:rsid w:val="000F3AC7"/>
    <w:rsid w:val="000F41CA"/>
    <w:rsid w:val="000F45C8"/>
    <w:rsid w:val="000F4F51"/>
    <w:rsid w:val="000F5067"/>
    <w:rsid w:val="000F53ED"/>
    <w:rsid w:val="000F55E5"/>
    <w:rsid w:val="000F62DA"/>
    <w:rsid w:val="000F7C74"/>
    <w:rsid w:val="001009C9"/>
    <w:rsid w:val="00100D98"/>
    <w:rsid w:val="00100FAB"/>
    <w:rsid w:val="001012BA"/>
    <w:rsid w:val="001016EC"/>
    <w:rsid w:val="00101A90"/>
    <w:rsid w:val="00101FE5"/>
    <w:rsid w:val="0010220A"/>
    <w:rsid w:val="00102276"/>
    <w:rsid w:val="001023B3"/>
    <w:rsid w:val="001030E8"/>
    <w:rsid w:val="00103354"/>
    <w:rsid w:val="00103E94"/>
    <w:rsid w:val="00103FCC"/>
    <w:rsid w:val="001043AB"/>
    <w:rsid w:val="001057E4"/>
    <w:rsid w:val="00105C3B"/>
    <w:rsid w:val="00105EBF"/>
    <w:rsid w:val="001068D2"/>
    <w:rsid w:val="0010690C"/>
    <w:rsid w:val="00106959"/>
    <w:rsid w:val="00106E19"/>
    <w:rsid w:val="00106EF4"/>
    <w:rsid w:val="0010734F"/>
    <w:rsid w:val="00107432"/>
    <w:rsid w:val="00107A66"/>
    <w:rsid w:val="00107D8A"/>
    <w:rsid w:val="001100B3"/>
    <w:rsid w:val="00110318"/>
    <w:rsid w:val="001107CB"/>
    <w:rsid w:val="001111A3"/>
    <w:rsid w:val="00111626"/>
    <w:rsid w:val="00111D58"/>
    <w:rsid w:val="00112A52"/>
    <w:rsid w:val="00112EB2"/>
    <w:rsid w:val="00113A1E"/>
    <w:rsid w:val="00113D53"/>
    <w:rsid w:val="00114083"/>
    <w:rsid w:val="0011428C"/>
    <w:rsid w:val="0011429F"/>
    <w:rsid w:val="001142BF"/>
    <w:rsid w:val="00114548"/>
    <w:rsid w:val="00114555"/>
    <w:rsid w:val="001147A1"/>
    <w:rsid w:val="00115772"/>
    <w:rsid w:val="00115AE0"/>
    <w:rsid w:val="00116127"/>
    <w:rsid w:val="00116A12"/>
    <w:rsid w:val="00117AC8"/>
    <w:rsid w:val="001209E8"/>
    <w:rsid w:val="00120BFC"/>
    <w:rsid w:val="00120FEC"/>
    <w:rsid w:val="00121349"/>
    <w:rsid w:val="001214B6"/>
    <w:rsid w:val="00121649"/>
    <w:rsid w:val="00121A26"/>
    <w:rsid w:val="00122981"/>
    <w:rsid w:val="00122F2F"/>
    <w:rsid w:val="00122FDE"/>
    <w:rsid w:val="0012357F"/>
    <w:rsid w:val="00123CB6"/>
    <w:rsid w:val="00125827"/>
    <w:rsid w:val="0012656D"/>
    <w:rsid w:val="00126E0E"/>
    <w:rsid w:val="00126FD5"/>
    <w:rsid w:val="0012763E"/>
    <w:rsid w:val="001276C3"/>
    <w:rsid w:val="0012782F"/>
    <w:rsid w:val="0012783A"/>
    <w:rsid w:val="00127FBD"/>
    <w:rsid w:val="00130BCE"/>
    <w:rsid w:val="001313C1"/>
    <w:rsid w:val="00131669"/>
    <w:rsid w:val="00131D6C"/>
    <w:rsid w:val="00131D79"/>
    <w:rsid w:val="001323BD"/>
    <w:rsid w:val="00132DC4"/>
    <w:rsid w:val="00133083"/>
    <w:rsid w:val="0013422C"/>
    <w:rsid w:val="00134770"/>
    <w:rsid w:val="0013499D"/>
    <w:rsid w:val="00135143"/>
    <w:rsid w:val="00135308"/>
    <w:rsid w:val="001359D4"/>
    <w:rsid w:val="00135FB7"/>
    <w:rsid w:val="0013608E"/>
    <w:rsid w:val="00136243"/>
    <w:rsid w:val="00136F6F"/>
    <w:rsid w:val="001401B1"/>
    <w:rsid w:val="001408F3"/>
    <w:rsid w:val="00141216"/>
    <w:rsid w:val="0014145A"/>
    <w:rsid w:val="00141467"/>
    <w:rsid w:val="0014161C"/>
    <w:rsid w:val="00141D10"/>
    <w:rsid w:val="00143578"/>
    <w:rsid w:val="001440DB"/>
    <w:rsid w:val="00144962"/>
    <w:rsid w:val="00145AE6"/>
    <w:rsid w:val="0014637C"/>
    <w:rsid w:val="00146B11"/>
    <w:rsid w:val="00146C6D"/>
    <w:rsid w:val="00146E1A"/>
    <w:rsid w:val="001470BF"/>
    <w:rsid w:val="0014747D"/>
    <w:rsid w:val="001479E4"/>
    <w:rsid w:val="00147A6B"/>
    <w:rsid w:val="00147BFA"/>
    <w:rsid w:val="00147D82"/>
    <w:rsid w:val="001500AB"/>
    <w:rsid w:val="001504EE"/>
    <w:rsid w:val="00150748"/>
    <w:rsid w:val="00151A60"/>
    <w:rsid w:val="0015220B"/>
    <w:rsid w:val="00152237"/>
    <w:rsid w:val="0015275F"/>
    <w:rsid w:val="00152BD7"/>
    <w:rsid w:val="00153096"/>
    <w:rsid w:val="00153921"/>
    <w:rsid w:val="00153B8C"/>
    <w:rsid w:val="00153D01"/>
    <w:rsid w:val="00154995"/>
    <w:rsid w:val="00154AFD"/>
    <w:rsid w:val="0015532C"/>
    <w:rsid w:val="001559F9"/>
    <w:rsid w:val="001574E6"/>
    <w:rsid w:val="00157E39"/>
    <w:rsid w:val="0016015D"/>
    <w:rsid w:val="001604DC"/>
    <w:rsid w:val="001604E9"/>
    <w:rsid w:val="001605C0"/>
    <w:rsid w:val="00160BA5"/>
    <w:rsid w:val="001610AF"/>
    <w:rsid w:val="0016130F"/>
    <w:rsid w:val="001613DC"/>
    <w:rsid w:val="001614F2"/>
    <w:rsid w:val="001623FA"/>
    <w:rsid w:val="0016259E"/>
    <w:rsid w:val="001628C8"/>
    <w:rsid w:val="00162970"/>
    <w:rsid w:val="0016346E"/>
    <w:rsid w:val="00163B12"/>
    <w:rsid w:val="00163DED"/>
    <w:rsid w:val="0016414B"/>
    <w:rsid w:val="00164250"/>
    <w:rsid w:val="00164331"/>
    <w:rsid w:val="001650AC"/>
    <w:rsid w:val="0016510F"/>
    <w:rsid w:val="00165BF3"/>
    <w:rsid w:val="00166CE0"/>
    <w:rsid w:val="00166E43"/>
    <w:rsid w:val="00166FAB"/>
    <w:rsid w:val="001672FB"/>
    <w:rsid w:val="001674F6"/>
    <w:rsid w:val="00167B5B"/>
    <w:rsid w:val="00167C01"/>
    <w:rsid w:val="001701AC"/>
    <w:rsid w:val="001703DF"/>
    <w:rsid w:val="0017086E"/>
    <w:rsid w:val="001708EB"/>
    <w:rsid w:val="00170F9B"/>
    <w:rsid w:val="001718B6"/>
    <w:rsid w:val="00173633"/>
    <w:rsid w:val="00173790"/>
    <w:rsid w:val="00173979"/>
    <w:rsid w:val="00174404"/>
    <w:rsid w:val="00175199"/>
    <w:rsid w:val="00175DBD"/>
    <w:rsid w:val="001765BE"/>
    <w:rsid w:val="00176A38"/>
    <w:rsid w:val="00177A7B"/>
    <w:rsid w:val="00180370"/>
    <w:rsid w:val="00180579"/>
    <w:rsid w:val="0018117D"/>
    <w:rsid w:val="00181854"/>
    <w:rsid w:val="00181AC7"/>
    <w:rsid w:val="00181E8C"/>
    <w:rsid w:val="001822D3"/>
    <w:rsid w:val="00182971"/>
    <w:rsid w:val="00182B79"/>
    <w:rsid w:val="00182E81"/>
    <w:rsid w:val="001832CB"/>
    <w:rsid w:val="001838CB"/>
    <w:rsid w:val="00183D01"/>
    <w:rsid w:val="00183EF6"/>
    <w:rsid w:val="00184554"/>
    <w:rsid w:val="001846A0"/>
    <w:rsid w:val="00184930"/>
    <w:rsid w:val="001864AB"/>
    <w:rsid w:val="00186ACF"/>
    <w:rsid w:val="00190258"/>
    <w:rsid w:val="001906F4"/>
    <w:rsid w:val="00190C51"/>
    <w:rsid w:val="00190FE8"/>
    <w:rsid w:val="00191BA7"/>
    <w:rsid w:val="0019223F"/>
    <w:rsid w:val="00192264"/>
    <w:rsid w:val="001927C6"/>
    <w:rsid w:val="001932CF"/>
    <w:rsid w:val="00193413"/>
    <w:rsid w:val="00193495"/>
    <w:rsid w:val="00193510"/>
    <w:rsid w:val="00193923"/>
    <w:rsid w:val="00193B3F"/>
    <w:rsid w:val="00193F01"/>
    <w:rsid w:val="00196269"/>
    <w:rsid w:val="001965C3"/>
    <w:rsid w:val="0019663D"/>
    <w:rsid w:val="00196B0B"/>
    <w:rsid w:val="00197385"/>
    <w:rsid w:val="00197631"/>
    <w:rsid w:val="001979A1"/>
    <w:rsid w:val="001A0005"/>
    <w:rsid w:val="001A00C9"/>
    <w:rsid w:val="001A022D"/>
    <w:rsid w:val="001A16C4"/>
    <w:rsid w:val="001A1804"/>
    <w:rsid w:val="001A1D21"/>
    <w:rsid w:val="001A1E5E"/>
    <w:rsid w:val="001A20FB"/>
    <w:rsid w:val="001A2E9A"/>
    <w:rsid w:val="001A2EF4"/>
    <w:rsid w:val="001A30CA"/>
    <w:rsid w:val="001A3807"/>
    <w:rsid w:val="001A3DAA"/>
    <w:rsid w:val="001A4726"/>
    <w:rsid w:val="001A47B1"/>
    <w:rsid w:val="001A4D7B"/>
    <w:rsid w:val="001A5253"/>
    <w:rsid w:val="001A5694"/>
    <w:rsid w:val="001A683F"/>
    <w:rsid w:val="001A708A"/>
    <w:rsid w:val="001A70BA"/>
    <w:rsid w:val="001A7138"/>
    <w:rsid w:val="001A7605"/>
    <w:rsid w:val="001A76BF"/>
    <w:rsid w:val="001A7B54"/>
    <w:rsid w:val="001A7B66"/>
    <w:rsid w:val="001B0B04"/>
    <w:rsid w:val="001B0E2C"/>
    <w:rsid w:val="001B1571"/>
    <w:rsid w:val="001B1821"/>
    <w:rsid w:val="001B21B7"/>
    <w:rsid w:val="001B285E"/>
    <w:rsid w:val="001B2958"/>
    <w:rsid w:val="001B29CF"/>
    <w:rsid w:val="001B2B19"/>
    <w:rsid w:val="001B2CE4"/>
    <w:rsid w:val="001B2E72"/>
    <w:rsid w:val="001B3A8F"/>
    <w:rsid w:val="001B3C43"/>
    <w:rsid w:val="001B3FE3"/>
    <w:rsid w:val="001B423D"/>
    <w:rsid w:val="001B4D15"/>
    <w:rsid w:val="001B55B2"/>
    <w:rsid w:val="001B61DF"/>
    <w:rsid w:val="001B631F"/>
    <w:rsid w:val="001B65C3"/>
    <w:rsid w:val="001B6A91"/>
    <w:rsid w:val="001B6D43"/>
    <w:rsid w:val="001B71EE"/>
    <w:rsid w:val="001B7969"/>
    <w:rsid w:val="001B7BC8"/>
    <w:rsid w:val="001C0194"/>
    <w:rsid w:val="001C0450"/>
    <w:rsid w:val="001C19CB"/>
    <w:rsid w:val="001C1B0B"/>
    <w:rsid w:val="001C1F0C"/>
    <w:rsid w:val="001C29A0"/>
    <w:rsid w:val="001C2DA4"/>
    <w:rsid w:val="001C2E49"/>
    <w:rsid w:val="001C34B5"/>
    <w:rsid w:val="001C3932"/>
    <w:rsid w:val="001C3AE9"/>
    <w:rsid w:val="001C3CED"/>
    <w:rsid w:val="001C3E21"/>
    <w:rsid w:val="001C4E87"/>
    <w:rsid w:val="001C5217"/>
    <w:rsid w:val="001C55F6"/>
    <w:rsid w:val="001C5F1C"/>
    <w:rsid w:val="001C6301"/>
    <w:rsid w:val="001C677D"/>
    <w:rsid w:val="001C7576"/>
    <w:rsid w:val="001C788D"/>
    <w:rsid w:val="001D0130"/>
    <w:rsid w:val="001D016C"/>
    <w:rsid w:val="001D10C0"/>
    <w:rsid w:val="001D1179"/>
    <w:rsid w:val="001D17CB"/>
    <w:rsid w:val="001D1A94"/>
    <w:rsid w:val="001D1C90"/>
    <w:rsid w:val="001D1C9B"/>
    <w:rsid w:val="001D1D27"/>
    <w:rsid w:val="001D2C47"/>
    <w:rsid w:val="001D37C1"/>
    <w:rsid w:val="001D41AC"/>
    <w:rsid w:val="001D47C7"/>
    <w:rsid w:val="001D4B18"/>
    <w:rsid w:val="001D54E4"/>
    <w:rsid w:val="001D708B"/>
    <w:rsid w:val="001E06F3"/>
    <w:rsid w:val="001E0870"/>
    <w:rsid w:val="001E0EF9"/>
    <w:rsid w:val="001E130A"/>
    <w:rsid w:val="001E1AAB"/>
    <w:rsid w:val="001E2C3C"/>
    <w:rsid w:val="001E3041"/>
    <w:rsid w:val="001E331B"/>
    <w:rsid w:val="001E4277"/>
    <w:rsid w:val="001E4671"/>
    <w:rsid w:val="001E4C34"/>
    <w:rsid w:val="001E4D39"/>
    <w:rsid w:val="001E4E3D"/>
    <w:rsid w:val="001E5588"/>
    <w:rsid w:val="001E5D28"/>
    <w:rsid w:val="001E62DA"/>
    <w:rsid w:val="001E7182"/>
    <w:rsid w:val="001E71BF"/>
    <w:rsid w:val="001E7E64"/>
    <w:rsid w:val="001F07B8"/>
    <w:rsid w:val="001F135F"/>
    <w:rsid w:val="001F1968"/>
    <w:rsid w:val="001F1AB6"/>
    <w:rsid w:val="001F1BB6"/>
    <w:rsid w:val="001F25FC"/>
    <w:rsid w:val="001F2E5B"/>
    <w:rsid w:val="001F3125"/>
    <w:rsid w:val="001F3668"/>
    <w:rsid w:val="001F3B9A"/>
    <w:rsid w:val="001F3D1E"/>
    <w:rsid w:val="001F43AE"/>
    <w:rsid w:val="001F488D"/>
    <w:rsid w:val="001F4E44"/>
    <w:rsid w:val="001F5A10"/>
    <w:rsid w:val="001F66A7"/>
    <w:rsid w:val="001F67A2"/>
    <w:rsid w:val="001F7025"/>
    <w:rsid w:val="001F7159"/>
    <w:rsid w:val="001F71DC"/>
    <w:rsid w:val="001F7309"/>
    <w:rsid w:val="001F742E"/>
    <w:rsid w:val="001F795A"/>
    <w:rsid w:val="00200099"/>
    <w:rsid w:val="002005A3"/>
    <w:rsid w:val="002005AD"/>
    <w:rsid w:val="002006B9"/>
    <w:rsid w:val="0020110D"/>
    <w:rsid w:val="00201159"/>
    <w:rsid w:val="002018EA"/>
    <w:rsid w:val="00201941"/>
    <w:rsid w:val="0020195F"/>
    <w:rsid w:val="002019FF"/>
    <w:rsid w:val="00201C51"/>
    <w:rsid w:val="00201CD8"/>
    <w:rsid w:val="0020227E"/>
    <w:rsid w:val="00203326"/>
    <w:rsid w:val="00203672"/>
    <w:rsid w:val="002043B3"/>
    <w:rsid w:val="00204580"/>
    <w:rsid w:val="002049C5"/>
    <w:rsid w:val="00205055"/>
    <w:rsid w:val="00205BCA"/>
    <w:rsid w:val="0020607F"/>
    <w:rsid w:val="00206BA3"/>
    <w:rsid w:val="00206DBE"/>
    <w:rsid w:val="0020712A"/>
    <w:rsid w:val="002072B5"/>
    <w:rsid w:val="00210ABD"/>
    <w:rsid w:val="00210CD5"/>
    <w:rsid w:val="00211AE8"/>
    <w:rsid w:val="0021268B"/>
    <w:rsid w:val="002131CF"/>
    <w:rsid w:val="002131FE"/>
    <w:rsid w:val="00213435"/>
    <w:rsid w:val="0021423B"/>
    <w:rsid w:val="002147BD"/>
    <w:rsid w:val="00214947"/>
    <w:rsid w:val="00215937"/>
    <w:rsid w:val="00216846"/>
    <w:rsid w:val="0021699A"/>
    <w:rsid w:val="00216CDE"/>
    <w:rsid w:val="00216D1A"/>
    <w:rsid w:val="00216FC2"/>
    <w:rsid w:val="002171B6"/>
    <w:rsid w:val="0021724C"/>
    <w:rsid w:val="002174ED"/>
    <w:rsid w:val="00217A54"/>
    <w:rsid w:val="00217D1E"/>
    <w:rsid w:val="00220281"/>
    <w:rsid w:val="0022065E"/>
    <w:rsid w:val="00220900"/>
    <w:rsid w:val="00222047"/>
    <w:rsid w:val="00222182"/>
    <w:rsid w:val="00222586"/>
    <w:rsid w:val="00222AA5"/>
    <w:rsid w:val="0022319A"/>
    <w:rsid w:val="002240B7"/>
    <w:rsid w:val="00225339"/>
    <w:rsid w:val="00225A9A"/>
    <w:rsid w:val="00225C31"/>
    <w:rsid w:val="002272A3"/>
    <w:rsid w:val="00230328"/>
    <w:rsid w:val="002303FC"/>
    <w:rsid w:val="0023095F"/>
    <w:rsid w:val="00230F64"/>
    <w:rsid w:val="0023226A"/>
    <w:rsid w:val="00232937"/>
    <w:rsid w:val="00233216"/>
    <w:rsid w:val="0023357F"/>
    <w:rsid w:val="002338A1"/>
    <w:rsid w:val="002338DE"/>
    <w:rsid w:val="00234118"/>
    <w:rsid w:val="00234332"/>
    <w:rsid w:val="0023437E"/>
    <w:rsid w:val="00235297"/>
    <w:rsid w:val="002352FA"/>
    <w:rsid w:val="0023542F"/>
    <w:rsid w:val="00235A61"/>
    <w:rsid w:val="00235C4F"/>
    <w:rsid w:val="00236A70"/>
    <w:rsid w:val="0023749B"/>
    <w:rsid w:val="002375A0"/>
    <w:rsid w:val="00237978"/>
    <w:rsid w:val="002400B8"/>
    <w:rsid w:val="00240382"/>
    <w:rsid w:val="00240BCF"/>
    <w:rsid w:val="00241428"/>
    <w:rsid w:val="00241496"/>
    <w:rsid w:val="002415CC"/>
    <w:rsid w:val="00241721"/>
    <w:rsid w:val="00241AC2"/>
    <w:rsid w:val="00241DF5"/>
    <w:rsid w:val="00242D1F"/>
    <w:rsid w:val="00242F33"/>
    <w:rsid w:val="00243641"/>
    <w:rsid w:val="00243DA8"/>
    <w:rsid w:val="0024408C"/>
    <w:rsid w:val="002440D9"/>
    <w:rsid w:val="00244A1B"/>
    <w:rsid w:val="002451BB"/>
    <w:rsid w:val="002453DC"/>
    <w:rsid w:val="002455E0"/>
    <w:rsid w:val="002457E2"/>
    <w:rsid w:val="00245D53"/>
    <w:rsid w:val="00245F2A"/>
    <w:rsid w:val="00246818"/>
    <w:rsid w:val="00246F23"/>
    <w:rsid w:val="002470D4"/>
    <w:rsid w:val="002471A8"/>
    <w:rsid w:val="00250228"/>
    <w:rsid w:val="002509DF"/>
    <w:rsid w:val="00250EA9"/>
    <w:rsid w:val="00250FD6"/>
    <w:rsid w:val="0025123E"/>
    <w:rsid w:val="0025138D"/>
    <w:rsid w:val="0025146C"/>
    <w:rsid w:val="00251A72"/>
    <w:rsid w:val="00251F21"/>
    <w:rsid w:val="00252321"/>
    <w:rsid w:val="00252357"/>
    <w:rsid w:val="00252883"/>
    <w:rsid w:val="002528E3"/>
    <w:rsid w:val="00252AFC"/>
    <w:rsid w:val="00252B1C"/>
    <w:rsid w:val="00253322"/>
    <w:rsid w:val="00253436"/>
    <w:rsid w:val="00253C9B"/>
    <w:rsid w:val="00253CD8"/>
    <w:rsid w:val="0025508B"/>
    <w:rsid w:val="002551BA"/>
    <w:rsid w:val="00255FBE"/>
    <w:rsid w:val="002566E6"/>
    <w:rsid w:val="002569AC"/>
    <w:rsid w:val="002575D9"/>
    <w:rsid w:val="0026147D"/>
    <w:rsid w:val="00261B47"/>
    <w:rsid w:val="00261BEE"/>
    <w:rsid w:val="00261DEB"/>
    <w:rsid w:val="002628E1"/>
    <w:rsid w:val="002630A4"/>
    <w:rsid w:val="002634CC"/>
    <w:rsid w:val="00263E10"/>
    <w:rsid w:val="00264074"/>
    <w:rsid w:val="002645AE"/>
    <w:rsid w:val="00264727"/>
    <w:rsid w:val="002647BF"/>
    <w:rsid w:val="00264A75"/>
    <w:rsid w:val="00264DDD"/>
    <w:rsid w:val="00264E6D"/>
    <w:rsid w:val="00266132"/>
    <w:rsid w:val="0026632E"/>
    <w:rsid w:val="002663D9"/>
    <w:rsid w:val="00266606"/>
    <w:rsid w:val="002666B9"/>
    <w:rsid w:val="00267193"/>
    <w:rsid w:val="00267786"/>
    <w:rsid w:val="00267974"/>
    <w:rsid w:val="0026799E"/>
    <w:rsid w:val="002700BC"/>
    <w:rsid w:val="002706F9"/>
    <w:rsid w:val="002710C2"/>
    <w:rsid w:val="00271377"/>
    <w:rsid w:val="00271558"/>
    <w:rsid w:val="00272ED5"/>
    <w:rsid w:val="00273108"/>
    <w:rsid w:val="002736D5"/>
    <w:rsid w:val="0027445C"/>
    <w:rsid w:val="0027513B"/>
    <w:rsid w:val="00275731"/>
    <w:rsid w:val="00275E3C"/>
    <w:rsid w:val="002760BC"/>
    <w:rsid w:val="0027627E"/>
    <w:rsid w:val="00276BE8"/>
    <w:rsid w:val="00276CEB"/>
    <w:rsid w:val="0027790A"/>
    <w:rsid w:val="002808AA"/>
    <w:rsid w:val="002809B2"/>
    <w:rsid w:val="00280D80"/>
    <w:rsid w:val="002813A3"/>
    <w:rsid w:val="002813C1"/>
    <w:rsid w:val="0028215F"/>
    <w:rsid w:val="00282253"/>
    <w:rsid w:val="002824AC"/>
    <w:rsid w:val="0028273D"/>
    <w:rsid w:val="0028289F"/>
    <w:rsid w:val="0028329E"/>
    <w:rsid w:val="0028395D"/>
    <w:rsid w:val="0028426F"/>
    <w:rsid w:val="00284EEB"/>
    <w:rsid w:val="0028513C"/>
    <w:rsid w:val="002851AE"/>
    <w:rsid w:val="00286016"/>
    <w:rsid w:val="002860D8"/>
    <w:rsid w:val="002863BF"/>
    <w:rsid w:val="00286939"/>
    <w:rsid w:val="00286B2D"/>
    <w:rsid w:val="00286D97"/>
    <w:rsid w:val="0028717E"/>
    <w:rsid w:val="00287315"/>
    <w:rsid w:val="0029071C"/>
    <w:rsid w:val="0029111B"/>
    <w:rsid w:val="00291993"/>
    <w:rsid w:val="00292383"/>
    <w:rsid w:val="00292CFB"/>
    <w:rsid w:val="00293196"/>
    <w:rsid w:val="002939FA"/>
    <w:rsid w:val="002948C9"/>
    <w:rsid w:val="00294990"/>
    <w:rsid w:val="00294A65"/>
    <w:rsid w:val="00294F15"/>
    <w:rsid w:val="00295600"/>
    <w:rsid w:val="002968B3"/>
    <w:rsid w:val="002968F0"/>
    <w:rsid w:val="00296DF9"/>
    <w:rsid w:val="00297B84"/>
    <w:rsid w:val="00297EA1"/>
    <w:rsid w:val="002A01D5"/>
    <w:rsid w:val="002A052B"/>
    <w:rsid w:val="002A06CC"/>
    <w:rsid w:val="002A0AB8"/>
    <w:rsid w:val="002A0E66"/>
    <w:rsid w:val="002A26FE"/>
    <w:rsid w:val="002A5BBD"/>
    <w:rsid w:val="002A60BD"/>
    <w:rsid w:val="002A6112"/>
    <w:rsid w:val="002A6968"/>
    <w:rsid w:val="002A6C69"/>
    <w:rsid w:val="002B07C9"/>
    <w:rsid w:val="002B0811"/>
    <w:rsid w:val="002B0AEE"/>
    <w:rsid w:val="002B209D"/>
    <w:rsid w:val="002B2273"/>
    <w:rsid w:val="002B2594"/>
    <w:rsid w:val="002B2B84"/>
    <w:rsid w:val="002B2D17"/>
    <w:rsid w:val="002B4EDF"/>
    <w:rsid w:val="002B4F4E"/>
    <w:rsid w:val="002B5C31"/>
    <w:rsid w:val="002B5F1D"/>
    <w:rsid w:val="002B6246"/>
    <w:rsid w:val="002B6254"/>
    <w:rsid w:val="002B650E"/>
    <w:rsid w:val="002B69F7"/>
    <w:rsid w:val="002B6CF8"/>
    <w:rsid w:val="002B716A"/>
    <w:rsid w:val="002B762F"/>
    <w:rsid w:val="002B7857"/>
    <w:rsid w:val="002B7931"/>
    <w:rsid w:val="002B7AC2"/>
    <w:rsid w:val="002C0E86"/>
    <w:rsid w:val="002C0FC5"/>
    <w:rsid w:val="002C1DC7"/>
    <w:rsid w:val="002C2027"/>
    <w:rsid w:val="002C2A89"/>
    <w:rsid w:val="002C33C1"/>
    <w:rsid w:val="002C3498"/>
    <w:rsid w:val="002C3671"/>
    <w:rsid w:val="002C3755"/>
    <w:rsid w:val="002C53CC"/>
    <w:rsid w:val="002C5875"/>
    <w:rsid w:val="002C5A51"/>
    <w:rsid w:val="002C64A2"/>
    <w:rsid w:val="002C66E8"/>
    <w:rsid w:val="002C7FB8"/>
    <w:rsid w:val="002D02BD"/>
    <w:rsid w:val="002D03CF"/>
    <w:rsid w:val="002D05A5"/>
    <w:rsid w:val="002D0BE6"/>
    <w:rsid w:val="002D1182"/>
    <w:rsid w:val="002D1469"/>
    <w:rsid w:val="002D1632"/>
    <w:rsid w:val="002D1930"/>
    <w:rsid w:val="002D1E9B"/>
    <w:rsid w:val="002D32C9"/>
    <w:rsid w:val="002D4A52"/>
    <w:rsid w:val="002D4A5A"/>
    <w:rsid w:val="002D4AEA"/>
    <w:rsid w:val="002D5151"/>
    <w:rsid w:val="002D5DEA"/>
    <w:rsid w:val="002D5E21"/>
    <w:rsid w:val="002D72BD"/>
    <w:rsid w:val="002D7A60"/>
    <w:rsid w:val="002D7AF6"/>
    <w:rsid w:val="002E0416"/>
    <w:rsid w:val="002E0A4A"/>
    <w:rsid w:val="002E1015"/>
    <w:rsid w:val="002E109C"/>
    <w:rsid w:val="002E1903"/>
    <w:rsid w:val="002E19AD"/>
    <w:rsid w:val="002E1E22"/>
    <w:rsid w:val="002E2176"/>
    <w:rsid w:val="002E2221"/>
    <w:rsid w:val="002E2298"/>
    <w:rsid w:val="002E2437"/>
    <w:rsid w:val="002E2464"/>
    <w:rsid w:val="002E30D7"/>
    <w:rsid w:val="002E350E"/>
    <w:rsid w:val="002E3C2D"/>
    <w:rsid w:val="002E3F7A"/>
    <w:rsid w:val="002E4264"/>
    <w:rsid w:val="002E46A5"/>
    <w:rsid w:val="002E5775"/>
    <w:rsid w:val="002E5F7F"/>
    <w:rsid w:val="002E652B"/>
    <w:rsid w:val="002E7051"/>
    <w:rsid w:val="002E7729"/>
    <w:rsid w:val="002E7C22"/>
    <w:rsid w:val="002F0480"/>
    <w:rsid w:val="002F07A8"/>
    <w:rsid w:val="002F1057"/>
    <w:rsid w:val="002F1822"/>
    <w:rsid w:val="002F1A09"/>
    <w:rsid w:val="002F2FB3"/>
    <w:rsid w:val="002F347E"/>
    <w:rsid w:val="002F3C77"/>
    <w:rsid w:val="002F3D03"/>
    <w:rsid w:val="002F4F4A"/>
    <w:rsid w:val="002F5792"/>
    <w:rsid w:val="002F618C"/>
    <w:rsid w:val="002F6611"/>
    <w:rsid w:val="002F6936"/>
    <w:rsid w:val="002F6BD4"/>
    <w:rsid w:val="002F6E28"/>
    <w:rsid w:val="002F7F6F"/>
    <w:rsid w:val="003000C2"/>
    <w:rsid w:val="003001FC"/>
    <w:rsid w:val="003007BE"/>
    <w:rsid w:val="003009C9"/>
    <w:rsid w:val="00300A50"/>
    <w:rsid w:val="00300F2D"/>
    <w:rsid w:val="00301F9F"/>
    <w:rsid w:val="00302462"/>
    <w:rsid w:val="00302603"/>
    <w:rsid w:val="00302799"/>
    <w:rsid w:val="00302EF9"/>
    <w:rsid w:val="00303787"/>
    <w:rsid w:val="00303B1F"/>
    <w:rsid w:val="00304483"/>
    <w:rsid w:val="003044D2"/>
    <w:rsid w:val="00304996"/>
    <w:rsid w:val="00304B36"/>
    <w:rsid w:val="00304DA3"/>
    <w:rsid w:val="00305645"/>
    <w:rsid w:val="00305FA4"/>
    <w:rsid w:val="0030676A"/>
    <w:rsid w:val="00306802"/>
    <w:rsid w:val="00307581"/>
    <w:rsid w:val="0030772A"/>
    <w:rsid w:val="00307D21"/>
    <w:rsid w:val="00310612"/>
    <w:rsid w:val="0031062A"/>
    <w:rsid w:val="003109BC"/>
    <w:rsid w:val="00310F0E"/>
    <w:rsid w:val="00311363"/>
    <w:rsid w:val="0031152E"/>
    <w:rsid w:val="00311D47"/>
    <w:rsid w:val="00311ED5"/>
    <w:rsid w:val="003126A5"/>
    <w:rsid w:val="00313249"/>
    <w:rsid w:val="00313EDC"/>
    <w:rsid w:val="00314383"/>
    <w:rsid w:val="003143B8"/>
    <w:rsid w:val="003158EF"/>
    <w:rsid w:val="00316717"/>
    <w:rsid w:val="00320DA0"/>
    <w:rsid w:val="0032156A"/>
    <w:rsid w:val="0032176C"/>
    <w:rsid w:val="0032216F"/>
    <w:rsid w:val="0032255F"/>
    <w:rsid w:val="003227AE"/>
    <w:rsid w:val="00323314"/>
    <w:rsid w:val="00323933"/>
    <w:rsid w:val="00323E4D"/>
    <w:rsid w:val="003241D8"/>
    <w:rsid w:val="00324705"/>
    <w:rsid w:val="00324F52"/>
    <w:rsid w:val="00324F54"/>
    <w:rsid w:val="0032588B"/>
    <w:rsid w:val="00325C52"/>
    <w:rsid w:val="00325EC5"/>
    <w:rsid w:val="00326351"/>
    <w:rsid w:val="00327EE2"/>
    <w:rsid w:val="00327FA6"/>
    <w:rsid w:val="00330C82"/>
    <w:rsid w:val="003311EF"/>
    <w:rsid w:val="0033184E"/>
    <w:rsid w:val="00331A35"/>
    <w:rsid w:val="00331C19"/>
    <w:rsid w:val="00331C73"/>
    <w:rsid w:val="00332771"/>
    <w:rsid w:val="00332B04"/>
    <w:rsid w:val="00332E4E"/>
    <w:rsid w:val="00333574"/>
    <w:rsid w:val="00333809"/>
    <w:rsid w:val="00333816"/>
    <w:rsid w:val="003338F1"/>
    <w:rsid w:val="00333A07"/>
    <w:rsid w:val="00333F4D"/>
    <w:rsid w:val="0033522F"/>
    <w:rsid w:val="003359FE"/>
    <w:rsid w:val="00335AE0"/>
    <w:rsid w:val="00335BDB"/>
    <w:rsid w:val="00336927"/>
    <w:rsid w:val="00336EDF"/>
    <w:rsid w:val="00337496"/>
    <w:rsid w:val="003375C1"/>
    <w:rsid w:val="0034043A"/>
    <w:rsid w:val="00340BFE"/>
    <w:rsid w:val="00340E13"/>
    <w:rsid w:val="00341058"/>
    <w:rsid w:val="00342CC7"/>
    <w:rsid w:val="0034386E"/>
    <w:rsid w:val="00343934"/>
    <w:rsid w:val="00343A1D"/>
    <w:rsid w:val="00343A8A"/>
    <w:rsid w:val="00343F0F"/>
    <w:rsid w:val="00344278"/>
    <w:rsid w:val="003442AD"/>
    <w:rsid w:val="00344C7C"/>
    <w:rsid w:val="003455A3"/>
    <w:rsid w:val="003465C8"/>
    <w:rsid w:val="003466CC"/>
    <w:rsid w:val="00346705"/>
    <w:rsid w:val="00347243"/>
    <w:rsid w:val="00347377"/>
    <w:rsid w:val="0034753C"/>
    <w:rsid w:val="00350667"/>
    <w:rsid w:val="0035070F"/>
    <w:rsid w:val="00351EDC"/>
    <w:rsid w:val="00352045"/>
    <w:rsid w:val="00353B7E"/>
    <w:rsid w:val="00353F26"/>
    <w:rsid w:val="003541D8"/>
    <w:rsid w:val="00354481"/>
    <w:rsid w:val="0035458C"/>
    <w:rsid w:val="00354782"/>
    <w:rsid w:val="00355113"/>
    <w:rsid w:val="00355234"/>
    <w:rsid w:val="003554AC"/>
    <w:rsid w:val="00355C36"/>
    <w:rsid w:val="00356F7F"/>
    <w:rsid w:val="00357B90"/>
    <w:rsid w:val="00357F5B"/>
    <w:rsid w:val="003602DE"/>
    <w:rsid w:val="003605B6"/>
    <w:rsid w:val="00361010"/>
    <w:rsid w:val="003612E9"/>
    <w:rsid w:val="0036217B"/>
    <w:rsid w:val="00362350"/>
    <w:rsid w:val="00362357"/>
    <w:rsid w:val="003624FC"/>
    <w:rsid w:val="003634DA"/>
    <w:rsid w:val="0036359B"/>
    <w:rsid w:val="00363B4C"/>
    <w:rsid w:val="00364296"/>
    <w:rsid w:val="00364844"/>
    <w:rsid w:val="00364B13"/>
    <w:rsid w:val="0036526D"/>
    <w:rsid w:val="00365DDD"/>
    <w:rsid w:val="00365DF5"/>
    <w:rsid w:val="00366C94"/>
    <w:rsid w:val="00366E5D"/>
    <w:rsid w:val="00366F3F"/>
    <w:rsid w:val="00367005"/>
    <w:rsid w:val="003673A2"/>
    <w:rsid w:val="00370528"/>
    <w:rsid w:val="00370859"/>
    <w:rsid w:val="0037183F"/>
    <w:rsid w:val="00371944"/>
    <w:rsid w:val="00371AEC"/>
    <w:rsid w:val="0037237D"/>
    <w:rsid w:val="00372693"/>
    <w:rsid w:val="003743AA"/>
    <w:rsid w:val="00374654"/>
    <w:rsid w:val="00374C59"/>
    <w:rsid w:val="003754BA"/>
    <w:rsid w:val="00375624"/>
    <w:rsid w:val="003759A1"/>
    <w:rsid w:val="00375D21"/>
    <w:rsid w:val="00375EF5"/>
    <w:rsid w:val="003761C4"/>
    <w:rsid w:val="0037674D"/>
    <w:rsid w:val="00376852"/>
    <w:rsid w:val="00376EE6"/>
    <w:rsid w:val="00377705"/>
    <w:rsid w:val="00377A1F"/>
    <w:rsid w:val="0038019E"/>
    <w:rsid w:val="00380981"/>
    <w:rsid w:val="003813F7"/>
    <w:rsid w:val="00381684"/>
    <w:rsid w:val="00382989"/>
    <w:rsid w:val="00382B21"/>
    <w:rsid w:val="00382B46"/>
    <w:rsid w:val="003830D3"/>
    <w:rsid w:val="003831D5"/>
    <w:rsid w:val="00383208"/>
    <w:rsid w:val="003838A1"/>
    <w:rsid w:val="00383E04"/>
    <w:rsid w:val="003851C7"/>
    <w:rsid w:val="00385368"/>
    <w:rsid w:val="0038658E"/>
    <w:rsid w:val="00386BFA"/>
    <w:rsid w:val="00386DDA"/>
    <w:rsid w:val="00387A2B"/>
    <w:rsid w:val="00390300"/>
    <w:rsid w:val="00390510"/>
    <w:rsid w:val="00390BB4"/>
    <w:rsid w:val="003911A5"/>
    <w:rsid w:val="003920EF"/>
    <w:rsid w:val="00392346"/>
    <w:rsid w:val="003929E6"/>
    <w:rsid w:val="00393787"/>
    <w:rsid w:val="00393D7D"/>
    <w:rsid w:val="00393F94"/>
    <w:rsid w:val="00394899"/>
    <w:rsid w:val="0039545B"/>
    <w:rsid w:val="00395462"/>
    <w:rsid w:val="00395898"/>
    <w:rsid w:val="00395AB7"/>
    <w:rsid w:val="00395C0B"/>
    <w:rsid w:val="0039614C"/>
    <w:rsid w:val="00396168"/>
    <w:rsid w:val="00396614"/>
    <w:rsid w:val="00396E32"/>
    <w:rsid w:val="00396F2A"/>
    <w:rsid w:val="00397206"/>
    <w:rsid w:val="00397A1D"/>
    <w:rsid w:val="00397CEC"/>
    <w:rsid w:val="00397F09"/>
    <w:rsid w:val="003A02BE"/>
    <w:rsid w:val="003A08F6"/>
    <w:rsid w:val="003A140D"/>
    <w:rsid w:val="003A14EF"/>
    <w:rsid w:val="003A17BD"/>
    <w:rsid w:val="003A19AB"/>
    <w:rsid w:val="003A1DF7"/>
    <w:rsid w:val="003A2B85"/>
    <w:rsid w:val="003A3942"/>
    <w:rsid w:val="003A3AEC"/>
    <w:rsid w:val="003A467D"/>
    <w:rsid w:val="003A4763"/>
    <w:rsid w:val="003A57D6"/>
    <w:rsid w:val="003A5918"/>
    <w:rsid w:val="003A63A8"/>
    <w:rsid w:val="003A6C1D"/>
    <w:rsid w:val="003A75FE"/>
    <w:rsid w:val="003A78F3"/>
    <w:rsid w:val="003B0400"/>
    <w:rsid w:val="003B20FE"/>
    <w:rsid w:val="003B2441"/>
    <w:rsid w:val="003B25FA"/>
    <w:rsid w:val="003B2B5C"/>
    <w:rsid w:val="003B2F87"/>
    <w:rsid w:val="003B3287"/>
    <w:rsid w:val="003B3973"/>
    <w:rsid w:val="003B3BE5"/>
    <w:rsid w:val="003B4217"/>
    <w:rsid w:val="003B4D0B"/>
    <w:rsid w:val="003B53AC"/>
    <w:rsid w:val="003B560F"/>
    <w:rsid w:val="003B6399"/>
    <w:rsid w:val="003B671B"/>
    <w:rsid w:val="003B740C"/>
    <w:rsid w:val="003B79DC"/>
    <w:rsid w:val="003C0D6A"/>
    <w:rsid w:val="003C0D7B"/>
    <w:rsid w:val="003C0FB9"/>
    <w:rsid w:val="003C168C"/>
    <w:rsid w:val="003C209A"/>
    <w:rsid w:val="003C20E0"/>
    <w:rsid w:val="003C2DD3"/>
    <w:rsid w:val="003C303F"/>
    <w:rsid w:val="003C338B"/>
    <w:rsid w:val="003C37F1"/>
    <w:rsid w:val="003C3951"/>
    <w:rsid w:val="003C3E6F"/>
    <w:rsid w:val="003C4117"/>
    <w:rsid w:val="003C4D70"/>
    <w:rsid w:val="003C51D3"/>
    <w:rsid w:val="003C5975"/>
    <w:rsid w:val="003C5B61"/>
    <w:rsid w:val="003C62F4"/>
    <w:rsid w:val="003C64FF"/>
    <w:rsid w:val="003C773C"/>
    <w:rsid w:val="003D050C"/>
    <w:rsid w:val="003D0804"/>
    <w:rsid w:val="003D0F82"/>
    <w:rsid w:val="003D0FCA"/>
    <w:rsid w:val="003D1490"/>
    <w:rsid w:val="003D155B"/>
    <w:rsid w:val="003D1BE4"/>
    <w:rsid w:val="003D1F3C"/>
    <w:rsid w:val="003D234D"/>
    <w:rsid w:val="003D28F5"/>
    <w:rsid w:val="003D2ABD"/>
    <w:rsid w:val="003D2D1B"/>
    <w:rsid w:val="003D325F"/>
    <w:rsid w:val="003D3511"/>
    <w:rsid w:val="003D403A"/>
    <w:rsid w:val="003D413C"/>
    <w:rsid w:val="003D4319"/>
    <w:rsid w:val="003D4587"/>
    <w:rsid w:val="003D48A2"/>
    <w:rsid w:val="003D5F76"/>
    <w:rsid w:val="003D65BF"/>
    <w:rsid w:val="003D6732"/>
    <w:rsid w:val="003D6D91"/>
    <w:rsid w:val="003D7250"/>
    <w:rsid w:val="003D76EE"/>
    <w:rsid w:val="003D7B4C"/>
    <w:rsid w:val="003E0E2C"/>
    <w:rsid w:val="003E164A"/>
    <w:rsid w:val="003E1A9F"/>
    <w:rsid w:val="003E1EE8"/>
    <w:rsid w:val="003E2AD9"/>
    <w:rsid w:val="003E2DB7"/>
    <w:rsid w:val="003E32DE"/>
    <w:rsid w:val="003E3472"/>
    <w:rsid w:val="003E3E25"/>
    <w:rsid w:val="003E476E"/>
    <w:rsid w:val="003E49B2"/>
    <w:rsid w:val="003E4C9D"/>
    <w:rsid w:val="003E5859"/>
    <w:rsid w:val="003E676B"/>
    <w:rsid w:val="003E68AD"/>
    <w:rsid w:val="003E68AE"/>
    <w:rsid w:val="003E69D1"/>
    <w:rsid w:val="003E788D"/>
    <w:rsid w:val="003E7939"/>
    <w:rsid w:val="003F0A79"/>
    <w:rsid w:val="003F1084"/>
    <w:rsid w:val="003F1653"/>
    <w:rsid w:val="003F2171"/>
    <w:rsid w:val="003F27C8"/>
    <w:rsid w:val="003F28D0"/>
    <w:rsid w:val="003F2ABD"/>
    <w:rsid w:val="003F33E4"/>
    <w:rsid w:val="003F400E"/>
    <w:rsid w:val="003F40EE"/>
    <w:rsid w:val="003F46D5"/>
    <w:rsid w:val="003F5196"/>
    <w:rsid w:val="003F57B2"/>
    <w:rsid w:val="003F5841"/>
    <w:rsid w:val="003F5B5D"/>
    <w:rsid w:val="003F5C24"/>
    <w:rsid w:val="003F66D7"/>
    <w:rsid w:val="003F6C74"/>
    <w:rsid w:val="004007E5"/>
    <w:rsid w:val="0040274D"/>
    <w:rsid w:val="0040363B"/>
    <w:rsid w:val="0040414E"/>
    <w:rsid w:val="004045E7"/>
    <w:rsid w:val="00404BAB"/>
    <w:rsid w:val="00404F5A"/>
    <w:rsid w:val="004052A0"/>
    <w:rsid w:val="004056FD"/>
    <w:rsid w:val="00405C8E"/>
    <w:rsid w:val="00406104"/>
    <w:rsid w:val="00406A74"/>
    <w:rsid w:val="004075D9"/>
    <w:rsid w:val="00407755"/>
    <w:rsid w:val="004077AD"/>
    <w:rsid w:val="00407A1A"/>
    <w:rsid w:val="0041001E"/>
    <w:rsid w:val="00410667"/>
    <w:rsid w:val="004108BE"/>
    <w:rsid w:val="00410A50"/>
    <w:rsid w:val="00410DF4"/>
    <w:rsid w:val="00410F6A"/>
    <w:rsid w:val="004124EB"/>
    <w:rsid w:val="0041280E"/>
    <w:rsid w:val="0041288C"/>
    <w:rsid w:val="004133BB"/>
    <w:rsid w:val="00414C97"/>
    <w:rsid w:val="004154AF"/>
    <w:rsid w:val="004157B9"/>
    <w:rsid w:val="00415CAA"/>
    <w:rsid w:val="00416235"/>
    <w:rsid w:val="0041677B"/>
    <w:rsid w:val="00416C7D"/>
    <w:rsid w:val="00416DC0"/>
    <w:rsid w:val="00417111"/>
    <w:rsid w:val="00417996"/>
    <w:rsid w:val="00417DA6"/>
    <w:rsid w:val="00420177"/>
    <w:rsid w:val="004211BD"/>
    <w:rsid w:val="00421AD9"/>
    <w:rsid w:val="00422853"/>
    <w:rsid w:val="00422DD8"/>
    <w:rsid w:val="004234D4"/>
    <w:rsid w:val="00424BD7"/>
    <w:rsid w:val="00424DF0"/>
    <w:rsid w:val="0042558D"/>
    <w:rsid w:val="0042579B"/>
    <w:rsid w:val="00425C8B"/>
    <w:rsid w:val="00425F4B"/>
    <w:rsid w:val="00427475"/>
    <w:rsid w:val="004279D0"/>
    <w:rsid w:val="0043002D"/>
    <w:rsid w:val="00430964"/>
    <w:rsid w:val="00430BA3"/>
    <w:rsid w:val="0043129A"/>
    <w:rsid w:val="00431A01"/>
    <w:rsid w:val="00431B05"/>
    <w:rsid w:val="0043246F"/>
    <w:rsid w:val="0043288B"/>
    <w:rsid w:val="00432E87"/>
    <w:rsid w:val="00433001"/>
    <w:rsid w:val="00433182"/>
    <w:rsid w:val="00433722"/>
    <w:rsid w:val="00434E60"/>
    <w:rsid w:val="00435292"/>
    <w:rsid w:val="0043576E"/>
    <w:rsid w:val="00435F33"/>
    <w:rsid w:val="00436102"/>
    <w:rsid w:val="00436454"/>
    <w:rsid w:val="00436764"/>
    <w:rsid w:val="0043680B"/>
    <w:rsid w:val="00436F10"/>
    <w:rsid w:val="00436F48"/>
    <w:rsid w:val="004373C4"/>
    <w:rsid w:val="004373CD"/>
    <w:rsid w:val="00437623"/>
    <w:rsid w:val="00437CFD"/>
    <w:rsid w:val="00437FE6"/>
    <w:rsid w:val="0044019B"/>
    <w:rsid w:val="00440298"/>
    <w:rsid w:val="004408B9"/>
    <w:rsid w:val="004419E8"/>
    <w:rsid w:val="00441B77"/>
    <w:rsid w:val="00442A6C"/>
    <w:rsid w:val="00443756"/>
    <w:rsid w:val="00443BD2"/>
    <w:rsid w:val="00443E20"/>
    <w:rsid w:val="00444039"/>
    <w:rsid w:val="00444411"/>
    <w:rsid w:val="00444437"/>
    <w:rsid w:val="004447FF"/>
    <w:rsid w:val="00444BDC"/>
    <w:rsid w:val="00445193"/>
    <w:rsid w:val="004451B4"/>
    <w:rsid w:val="004458B3"/>
    <w:rsid w:val="00447330"/>
    <w:rsid w:val="00450CCE"/>
    <w:rsid w:val="00450EC8"/>
    <w:rsid w:val="00451681"/>
    <w:rsid w:val="00451AF6"/>
    <w:rsid w:val="0045361E"/>
    <w:rsid w:val="0045367B"/>
    <w:rsid w:val="00453A06"/>
    <w:rsid w:val="004544F8"/>
    <w:rsid w:val="0045490A"/>
    <w:rsid w:val="00454B88"/>
    <w:rsid w:val="00454D56"/>
    <w:rsid w:val="00454D9F"/>
    <w:rsid w:val="004550B7"/>
    <w:rsid w:val="0045598B"/>
    <w:rsid w:val="00455AE9"/>
    <w:rsid w:val="00455B24"/>
    <w:rsid w:val="00455FE9"/>
    <w:rsid w:val="00456466"/>
    <w:rsid w:val="00456A81"/>
    <w:rsid w:val="00456E42"/>
    <w:rsid w:val="00457245"/>
    <w:rsid w:val="004577CB"/>
    <w:rsid w:val="00457E5B"/>
    <w:rsid w:val="00457F7F"/>
    <w:rsid w:val="00460C05"/>
    <w:rsid w:val="00462865"/>
    <w:rsid w:val="0046297C"/>
    <w:rsid w:val="00462D58"/>
    <w:rsid w:val="00463382"/>
    <w:rsid w:val="00463E5D"/>
    <w:rsid w:val="00463F27"/>
    <w:rsid w:val="00464708"/>
    <w:rsid w:val="00464A19"/>
    <w:rsid w:val="00464AC9"/>
    <w:rsid w:val="00465656"/>
    <w:rsid w:val="00465802"/>
    <w:rsid w:val="00465C72"/>
    <w:rsid w:val="00465EC0"/>
    <w:rsid w:val="00465F3B"/>
    <w:rsid w:val="004666A5"/>
    <w:rsid w:val="00466884"/>
    <w:rsid w:val="00466F68"/>
    <w:rsid w:val="004671E6"/>
    <w:rsid w:val="00467B0A"/>
    <w:rsid w:val="004700A8"/>
    <w:rsid w:val="0047070E"/>
    <w:rsid w:val="00470A42"/>
    <w:rsid w:val="0047103C"/>
    <w:rsid w:val="00472A7D"/>
    <w:rsid w:val="00472FBF"/>
    <w:rsid w:val="00473867"/>
    <w:rsid w:val="004738CA"/>
    <w:rsid w:val="00473A39"/>
    <w:rsid w:val="0047416D"/>
    <w:rsid w:val="004741F9"/>
    <w:rsid w:val="004746BD"/>
    <w:rsid w:val="0047471E"/>
    <w:rsid w:val="00474CD6"/>
    <w:rsid w:val="00474EF6"/>
    <w:rsid w:val="004752CA"/>
    <w:rsid w:val="00475421"/>
    <w:rsid w:val="00475BC0"/>
    <w:rsid w:val="00476B36"/>
    <w:rsid w:val="004777C0"/>
    <w:rsid w:val="00477C22"/>
    <w:rsid w:val="00480624"/>
    <w:rsid w:val="00480A7B"/>
    <w:rsid w:val="004816B5"/>
    <w:rsid w:val="00481761"/>
    <w:rsid w:val="00481A30"/>
    <w:rsid w:val="00482768"/>
    <w:rsid w:val="00482A2A"/>
    <w:rsid w:val="00482B82"/>
    <w:rsid w:val="00482E8E"/>
    <w:rsid w:val="00482F3B"/>
    <w:rsid w:val="0048315E"/>
    <w:rsid w:val="00483449"/>
    <w:rsid w:val="004834DF"/>
    <w:rsid w:val="00483679"/>
    <w:rsid w:val="0048450A"/>
    <w:rsid w:val="0048461D"/>
    <w:rsid w:val="00484F19"/>
    <w:rsid w:val="00486D2A"/>
    <w:rsid w:val="004872F3"/>
    <w:rsid w:val="00490038"/>
    <w:rsid w:val="004909CD"/>
    <w:rsid w:val="0049144D"/>
    <w:rsid w:val="00491839"/>
    <w:rsid w:val="00491A8F"/>
    <w:rsid w:val="00491CEB"/>
    <w:rsid w:val="004923A5"/>
    <w:rsid w:val="004923FA"/>
    <w:rsid w:val="00492C6B"/>
    <w:rsid w:val="00492E53"/>
    <w:rsid w:val="00493678"/>
    <w:rsid w:val="00493988"/>
    <w:rsid w:val="0049443E"/>
    <w:rsid w:val="00494972"/>
    <w:rsid w:val="004954EE"/>
    <w:rsid w:val="004954FB"/>
    <w:rsid w:val="004958AE"/>
    <w:rsid w:val="004960E0"/>
    <w:rsid w:val="0049715B"/>
    <w:rsid w:val="00497593"/>
    <w:rsid w:val="0049775B"/>
    <w:rsid w:val="00497EBD"/>
    <w:rsid w:val="004A0A73"/>
    <w:rsid w:val="004A1831"/>
    <w:rsid w:val="004A186E"/>
    <w:rsid w:val="004A1D48"/>
    <w:rsid w:val="004A1F32"/>
    <w:rsid w:val="004A23D7"/>
    <w:rsid w:val="004A3399"/>
    <w:rsid w:val="004A34FB"/>
    <w:rsid w:val="004A3B53"/>
    <w:rsid w:val="004A4153"/>
    <w:rsid w:val="004A41FC"/>
    <w:rsid w:val="004A4B00"/>
    <w:rsid w:val="004A4C5A"/>
    <w:rsid w:val="004A540A"/>
    <w:rsid w:val="004A5583"/>
    <w:rsid w:val="004A5C99"/>
    <w:rsid w:val="004A63A0"/>
    <w:rsid w:val="004A667B"/>
    <w:rsid w:val="004A66D9"/>
    <w:rsid w:val="004A79E5"/>
    <w:rsid w:val="004A7D27"/>
    <w:rsid w:val="004B07A9"/>
    <w:rsid w:val="004B101B"/>
    <w:rsid w:val="004B1304"/>
    <w:rsid w:val="004B17C8"/>
    <w:rsid w:val="004B1A95"/>
    <w:rsid w:val="004B1B2C"/>
    <w:rsid w:val="004B1C53"/>
    <w:rsid w:val="004B2730"/>
    <w:rsid w:val="004B2ACC"/>
    <w:rsid w:val="004B3B07"/>
    <w:rsid w:val="004B3F8C"/>
    <w:rsid w:val="004B42FE"/>
    <w:rsid w:val="004B4D6F"/>
    <w:rsid w:val="004B5293"/>
    <w:rsid w:val="004B539E"/>
    <w:rsid w:val="004B5D04"/>
    <w:rsid w:val="004B6184"/>
    <w:rsid w:val="004B69BB"/>
    <w:rsid w:val="004B6DA0"/>
    <w:rsid w:val="004B6FF7"/>
    <w:rsid w:val="004B776F"/>
    <w:rsid w:val="004B7CDB"/>
    <w:rsid w:val="004C035D"/>
    <w:rsid w:val="004C0D00"/>
    <w:rsid w:val="004C0D1F"/>
    <w:rsid w:val="004C129D"/>
    <w:rsid w:val="004C12C1"/>
    <w:rsid w:val="004C1410"/>
    <w:rsid w:val="004C1ECC"/>
    <w:rsid w:val="004C2203"/>
    <w:rsid w:val="004C240D"/>
    <w:rsid w:val="004C2993"/>
    <w:rsid w:val="004C331A"/>
    <w:rsid w:val="004C3ABF"/>
    <w:rsid w:val="004C41F4"/>
    <w:rsid w:val="004C4809"/>
    <w:rsid w:val="004C4B45"/>
    <w:rsid w:val="004C4E0B"/>
    <w:rsid w:val="004C550A"/>
    <w:rsid w:val="004C57B2"/>
    <w:rsid w:val="004C5C36"/>
    <w:rsid w:val="004C6F92"/>
    <w:rsid w:val="004C7688"/>
    <w:rsid w:val="004D022B"/>
    <w:rsid w:val="004D037F"/>
    <w:rsid w:val="004D0B8E"/>
    <w:rsid w:val="004D0C94"/>
    <w:rsid w:val="004D0CA0"/>
    <w:rsid w:val="004D0EA5"/>
    <w:rsid w:val="004D24B0"/>
    <w:rsid w:val="004D281A"/>
    <w:rsid w:val="004D369F"/>
    <w:rsid w:val="004D3946"/>
    <w:rsid w:val="004D3EA8"/>
    <w:rsid w:val="004D412A"/>
    <w:rsid w:val="004D535D"/>
    <w:rsid w:val="004D54C8"/>
    <w:rsid w:val="004D553D"/>
    <w:rsid w:val="004D55E5"/>
    <w:rsid w:val="004D57B2"/>
    <w:rsid w:val="004D6421"/>
    <w:rsid w:val="004D733C"/>
    <w:rsid w:val="004D75E1"/>
    <w:rsid w:val="004D7EA7"/>
    <w:rsid w:val="004D7FB7"/>
    <w:rsid w:val="004E013E"/>
    <w:rsid w:val="004E0B10"/>
    <w:rsid w:val="004E19CA"/>
    <w:rsid w:val="004E1ACE"/>
    <w:rsid w:val="004E1B43"/>
    <w:rsid w:val="004E2488"/>
    <w:rsid w:val="004E26E5"/>
    <w:rsid w:val="004E2C61"/>
    <w:rsid w:val="004E2EF7"/>
    <w:rsid w:val="004E33E6"/>
    <w:rsid w:val="004E3572"/>
    <w:rsid w:val="004E3871"/>
    <w:rsid w:val="004E3AAF"/>
    <w:rsid w:val="004E42E5"/>
    <w:rsid w:val="004E4830"/>
    <w:rsid w:val="004E49B9"/>
    <w:rsid w:val="004E56C2"/>
    <w:rsid w:val="004E5827"/>
    <w:rsid w:val="004E5AE1"/>
    <w:rsid w:val="004E5B3F"/>
    <w:rsid w:val="004E5CEF"/>
    <w:rsid w:val="004E6284"/>
    <w:rsid w:val="004E633C"/>
    <w:rsid w:val="004E669E"/>
    <w:rsid w:val="004E66CE"/>
    <w:rsid w:val="004E6ACB"/>
    <w:rsid w:val="004E7411"/>
    <w:rsid w:val="004E7D6E"/>
    <w:rsid w:val="004E7ED3"/>
    <w:rsid w:val="004F0AD8"/>
    <w:rsid w:val="004F0C51"/>
    <w:rsid w:val="004F0D26"/>
    <w:rsid w:val="004F1203"/>
    <w:rsid w:val="004F2609"/>
    <w:rsid w:val="004F26F6"/>
    <w:rsid w:val="004F2A06"/>
    <w:rsid w:val="004F2A43"/>
    <w:rsid w:val="004F30C4"/>
    <w:rsid w:val="004F3CB5"/>
    <w:rsid w:val="004F4622"/>
    <w:rsid w:val="004F4F58"/>
    <w:rsid w:val="004F5C53"/>
    <w:rsid w:val="004F5FE0"/>
    <w:rsid w:val="004F6CEF"/>
    <w:rsid w:val="004F701C"/>
    <w:rsid w:val="004F7071"/>
    <w:rsid w:val="004F757F"/>
    <w:rsid w:val="004F75B7"/>
    <w:rsid w:val="004F7BE1"/>
    <w:rsid w:val="004F7FAD"/>
    <w:rsid w:val="005000F5"/>
    <w:rsid w:val="0050050B"/>
    <w:rsid w:val="005006DF"/>
    <w:rsid w:val="00500A5D"/>
    <w:rsid w:val="0050196D"/>
    <w:rsid w:val="00501A4F"/>
    <w:rsid w:val="0050227F"/>
    <w:rsid w:val="0050240B"/>
    <w:rsid w:val="00502AB3"/>
    <w:rsid w:val="00502E91"/>
    <w:rsid w:val="0050318F"/>
    <w:rsid w:val="005035EB"/>
    <w:rsid w:val="00503ACD"/>
    <w:rsid w:val="00503E67"/>
    <w:rsid w:val="00504015"/>
    <w:rsid w:val="00504C85"/>
    <w:rsid w:val="00504F72"/>
    <w:rsid w:val="00504F82"/>
    <w:rsid w:val="005053A8"/>
    <w:rsid w:val="0050561B"/>
    <w:rsid w:val="00505912"/>
    <w:rsid w:val="00506324"/>
    <w:rsid w:val="0050632F"/>
    <w:rsid w:val="005070CB"/>
    <w:rsid w:val="00507168"/>
    <w:rsid w:val="0050785E"/>
    <w:rsid w:val="00510CAF"/>
    <w:rsid w:val="0051153F"/>
    <w:rsid w:val="00511624"/>
    <w:rsid w:val="00511740"/>
    <w:rsid w:val="0051181E"/>
    <w:rsid w:val="00511E22"/>
    <w:rsid w:val="00511FA4"/>
    <w:rsid w:val="00511FE6"/>
    <w:rsid w:val="00512290"/>
    <w:rsid w:val="00512366"/>
    <w:rsid w:val="0051245F"/>
    <w:rsid w:val="00513005"/>
    <w:rsid w:val="0051334E"/>
    <w:rsid w:val="00513762"/>
    <w:rsid w:val="0051376E"/>
    <w:rsid w:val="00513B56"/>
    <w:rsid w:val="0051438C"/>
    <w:rsid w:val="00514617"/>
    <w:rsid w:val="00514BDF"/>
    <w:rsid w:val="005153F9"/>
    <w:rsid w:val="005155A6"/>
    <w:rsid w:val="00515DEC"/>
    <w:rsid w:val="00516184"/>
    <w:rsid w:val="00516882"/>
    <w:rsid w:val="00516FA1"/>
    <w:rsid w:val="005176B4"/>
    <w:rsid w:val="00517DE1"/>
    <w:rsid w:val="00520458"/>
    <w:rsid w:val="0052047D"/>
    <w:rsid w:val="00520568"/>
    <w:rsid w:val="005206C5"/>
    <w:rsid w:val="005208E0"/>
    <w:rsid w:val="0052273F"/>
    <w:rsid w:val="00522CC6"/>
    <w:rsid w:val="00522E54"/>
    <w:rsid w:val="00523713"/>
    <w:rsid w:val="00523B44"/>
    <w:rsid w:val="00523F70"/>
    <w:rsid w:val="0052459C"/>
    <w:rsid w:val="005245E1"/>
    <w:rsid w:val="00524FAA"/>
    <w:rsid w:val="005254D5"/>
    <w:rsid w:val="00525AB2"/>
    <w:rsid w:val="00525FA0"/>
    <w:rsid w:val="005266CF"/>
    <w:rsid w:val="005272F0"/>
    <w:rsid w:val="0053006D"/>
    <w:rsid w:val="005303B2"/>
    <w:rsid w:val="00531524"/>
    <w:rsid w:val="00531A45"/>
    <w:rsid w:val="005328E6"/>
    <w:rsid w:val="005329C2"/>
    <w:rsid w:val="005337D4"/>
    <w:rsid w:val="00533B67"/>
    <w:rsid w:val="00534328"/>
    <w:rsid w:val="00535276"/>
    <w:rsid w:val="005360E7"/>
    <w:rsid w:val="005368EC"/>
    <w:rsid w:val="00537178"/>
    <w:rsid w:val="00537655"/>
    <w:rsid w:val="00540632"/>
    <w:rsid w:val="00540B30"/>
    <w:rsid w:val="00541296"/>
    <w:rsid w:val="005414DF"/>
    <w:rsid w:val="00541A03"/>
    <w:rsid w:val="00541C38"/>
    <w:rsid w:val="00542127"/>
    <w:rsid w:val="005421CE"/>
    <w:rsid w:val="00543E0F"/>
    <w:rsid w:val="0054409D"/>
    <w:rsid w:val="0054499E"/>
    <w:rsid w:val="00544E4C"/>
    <w:rsid w:val="005454E8"/>
    <w:rsid w:val="00545DC5"/>
    <w:rsid w:val="00545E12"/>
    <w:rsid w:val="00545F8F"/>
    <w:rsid w:val="005460B1"/>
    <w:rsid w:val="005467FD"/>
    <w:rsid w:val="00546DFB"/>
    <w:rsid w:val="00546E00"/>
    <w:rsid w:val="00547161"/>
    <w:rsid w:val="00547347"/>
    <w:rsid w:val="00547887"/>
    <w:rsid w:val="00547A73"/>
    <w:rsid w:val="00547F58"/>
    <w:rsid w:val="0055021C"/>
    <w:rsid w:val="005502DC"/>
    <w:rsid w:val="005509DA"/>
    <w:rsid w:val="00551A09"/>
    <w:rsid w:val="00551F85"/>
    <w:rsid w:val="0055206D"/>
    <w:rsid w:val="00552534"/>
    <w:rsid w:val="00552D2C"/>
    <w:rsid w:val="005533C7"/>
    <w:rsid w:val="00553B31"/>
    <w:rsid w:val="00553FEF"/>
    <w:rsid w:val="0055511E"/>
    <w:rsid w:val="005551B7"/>
    <w:rsid w:val="00555454"/>
    <w:rsid w:val="005557D7"/>
    <w:rsid w:val="00555C66"/>
    <w:rsid w:val="005562DF"/>
    <w:rsid w:val="00556EDD"/>
    <w:rsid w:val="00557763"/>
    <w:rsid w:val="0056004E"/>
    <w:rsid w:val="0056123F"/>
    <w:rsid w:val="00561422"/>
    <w:rsid w:val="00561C18"/>
    <w:rsid w:val="00563514"/>
    <w:rsid w:val="005637A4"/>
    <w:rsid w:val="005639BA"/>
    <w:rsid w:val="005641B2"/>
    <w:rsid w:val="00564BC2"/>
    <w:rsid w:val="00564D46"/>
    <w:rsid w:val="00565C03"/>
    <w:rsid w:val="00566190"/>
    <w:rsid w:val="005666A1"/>
    <w:rsid w:val="005667B7"/>
    <w:rsid w:val="00566CF2"/>
    <w:rsid w:val="005674E0"/>
    <w:rsid w:val="00567671"/>
    <w:rsid w:val="00570530"/>
    <w:rsid w:val="00571A6A"/>
    <w:rsid w:val="00572663"/>
    <w:rsid w:val="00572699"/>
    <w:rsid w:val="00572787"/>
    <w:rsid w:val="00574A53"/>
    <w:rsid w:val="00574C98"/>
    <w:rsid w:val="00575577"/>
    <w:rsid w:val="005757F9"/>
    <w:rsid w:val="00575935"/>
    <w:rsid w:val="00576171"/>
    <w:rsid w:val="0057629F"/>
    <w:rsid w:val="005765EA"/>
    <w:rsid w:val="00577004"/>
    <w:rsid w:val="005771B8"/>
    <w:rsid w:val="00577C0E"/>
    <w:rsid w:val="00577EA1"/>
    <w:rsid w:val="005800AF"/>
    <w:rsid w:val="00580E7C"/>
    <w:rsid w:val="00582213"/>
    <w:rsid w:val="00582426"/>
    <w:rsid w:val="005826C0"/>
    <w:rsid w:val="005831F3"/>
    <w:rsid w:val="005832D4"/>
    <w:rsid w:val="0058370A"/>
    <w:rsid w:val="0058439D"/>
    <w:rsid w:val="00585A38"/>
    <w:rsid w:val="00586072"/>
    <w:rsid w:val="00586161"/>
    <w:rsid w:val="00587834"/>
    <w:rsid w:val="005879B6"/>
    <w:rsid w:val="00590EE0"/>
    <w:rsid w:val="00592342"/>
    <w:rsid w:val="00592DB0"/>
    <w:rsid w:val="00592F6D"/>
    <w:rsid w:val="005932F9"/>
    <w:rsid w:val="0059379B"/>
    <w:rsid w:val="00593B8B"/>
    <w:rsid w:val="00594050"/>
    <w:rsid w:val="00594129"/>
    <w:rsid w:val="00594AB3"/>
    <w:rsid w:val="00594B2E"/>
    <w:rsid w:val="00594F86"/>
    <w:rsid w:val="00595267"/>
    <w:rsid w:val="00595545"/>
    <w:rsid w:val="005979A4"/>
    <w:rsid w:val="005A0607"/>
    <w:rsid w:val="005A194C"/>
    <w:rsid w:val="005A1B38"/>
    <w:rsid w:val="005A1E0F"/>
    <w:rsid w:val="005A2B12"/>
    <w:rsid w:val="005A31EF"/>
    <w:rsid w:val="005A36CA"/>
    <w:rsid w:val="005A3B5B"/>
    <w:rsid w:val="005A3E17"/>
    <w:rsid w:val="005A3F4C"/>
    <w:rsid w:val="005A3F7D"/>
    <w:rsid w:val="005A4ED9"/>
    <w:rsid w:val="005A5017"/>
    <w:rsid w:val="005A50DD"/>
    <w:rsid w:val="005A523F"/>
    <w:rsid w:val="005A5DF7"/>
    <w:rsid w:val="005A5F09"/>
    <w:rsid w:val="005A78C7"/>
    <w:rsid w:val="005A7CC0"/>
    <w:rsid w:val="005B0422"/>
    <w:rsid w:val="005B07C9"/>
    <w:rsid w:val="005B1027"/>
    <w:rsid w:val="005B19B5"/>
    <w:rsid w:val="005B1A84"/>
    <w:rsid w:val="005B1D23"/>
    <w:rsid w:val="005B2264"/>
    <w:rsid w:val="005B2558"/>
    <w:rsid w:val="005B29E0"/>
    <w:rsid w:val="005B2C2B"/>
    <w:rsid w:val="005B2CCD"/>
    <w:rsid w:val="005B2EE5"/>
    <w:rsid w:val="005B33F2"/>
    <w:rsid w:val="005B358D"/>
    <w:rsid w:val="005B3C10"/>
    <w:rsid w:val="005B48D3"/>
    <w:rsid w:val="005B4C80"/>
    <w:rsid w:val="005B51C3"/>
    <w:rsid w:val="005B79AA"/>
    <w:rsid w:val="005C0BA1"/>
    <w:rsid w:val="005C0CB7"/>
    <w:rsid w:val="005C1962"/>
    <w:rsid w:val="005C1E10"/>
    <w:rsid w:val="005C2336"/>
    <w:rsid w:val="005C2BD0"/>
    <w:rsid w:val="005C36CC"/>
    <w:rsid w:val="005C4F74"/>
    <w:rsid w:val="005C5383"/>
    <w:rsid w:val="005C55A3"/>
    <w:rsid w:val="005C5656"/>
    <w:rsid w:val="005C68C0"/>
    <w:rsid w:val="005C6BE3"/>
    <w:rsid w:val="005C6D8D"/>
    <w:rsid w:val="005C740C"/>
    <w:rsid w:val="005C7559"/>
    <w:rsid w:val="005D0626"/>
    <w:rsid w:val="005D0658"/>
    <w:rsid w:val="005D0AD7"/>
    <w:rsid w:val="005D0EFD"/>
    <w:rsid w:val="005D1692"/>
    <w:rsid w:val="005D2598"/>
    <w:rsid w:val="005D3B41"/>
    <w:rsid w:val="005D3B6B"/>
    <w:rsid w:val="005D3D0B"/>
    <w:rsid w:val="005D573D"/>
    <w:rsid w:val="005D5A62"/>
    <w:rsid w:val="005D5DFA"/>
    <w:rsid w:val="005D5E42"/>
    <w:rsid w:val="005D5E5C"/>
    <w:rsid w:val="005D6665"/>
    <w:rsid w:val="005D66ED"/>
    <w:rsid w:val="005D67A6"/>
    <w:rsid w:val="005D6D13"/>
    <w:rsid w:val="005D748F"/>
    <w:rsid w:val="005E013F"/>
    <w:rsid w:val="005E1723"/>
    <w:rsid w:val="005E1FFB"/>
    <w:rsid w:val="005E2286"/>
    <w:rsid w:val="005E2A4D"/>
    <w:rsid w:val="005E2D40"/>
    <w:rsid w:val="005E3ABB"/>
    <w:rsid w:val="005E3C74"/>
    <w:rsid w:val="005E402C"/>
    <w:rsid w:val="005E4085"/>
    <w:rsid w:val="005E43A8"/>
    <w:rsid w:val="005E470E"/>
    <w:rsid w:val="005E47A3"/>
    <w:rsid w:val="005E491F"/>
    <w:rsid w:val="005E4D09"/>
    <w:rsid w:val="005E4E8E"/>
    <w:rsid w:val="005E52B8"/>
    <w:rsid w:val="005E5F7C"/>
    <w:rsid w:val="005E6093"/>
    <w:rsid w:val="005E62D3"/>
    <w:rsid w:val="005E68BC"/>
    <w:rsid w:val="005E6CE2"/>
    <w:rsid w:val="005E6FDB"/>
    <w:rsid w:val="005E7042"/>
    <w:rsid w:val="005E7213"/>
    <w:rsid w:val="005E77D3"/>
    <w:rsid w:val="005F15D8"/>
    <w:rsid w:val="005F2296"/>
    <w:rsid w:val="005F23A5"/>
    <w:rsid w:val="005F284E"/>
    <w:rsid w:val="005F2D60"/>
    <w:rsid w:val="005F38AD"/>
    <w:rsid w:val="005F4498"/>
    <w:rsid w:val="005F4AED"/>
    <w:rsid w:val="005F4BAB"/>
    <w:rsid w:val="005F4DBF"/>
    <w:rsid w:val="005F4E55"/>
    <w:rsid w:val="005F5E9E"/>
    <w:rsid w:val="005F6106"/>
    <w:rsid w:val="005F61DF"/>
    <w:rsid w:val="005F73F9"/>
    <w:rsid w:val="005F7510"/>
    <w:rsid w:val="005F7A3E"/>
    <w:rsid w:val="006001E7"/>
    <w:rsid w:val="0060091E"/>
    <w:rsid w:val="006019E9"/>
    <w:rsid w:val="00601C07"/>
    <w:rsid w:val="00601F9D"/>
    <w:rsid w:val="006023FC"/>
    <w:rsid w:val="00602456"/>
    <w:rsid w:val="00602DF4"/>
    <w:rsid w:val="0060308C"/>
    <w:rsid w:val="006032A7"/>
    <w:rsid w:val="006033F1"/>
    <w:rsid w:val="00603AA0"/>
    <w:rsid w:val="00603DAE"/>
    <w:rsid w:val="0060419B"/>
    <w:rsid w:val="00604245"/>
    <w:rsid w:val="006045FE"/>
    <w:rsid w:val="006046E5"/>
    <w:rsid w:val="00604AC9"/>
    <w:rsid w:val="006056A2"/>
    <w:rsid w:val="00605C46"/>
    <w:rsid w:val="0060606D"/>
    <w:rsid w:val="00606425"/>
    <w:rsid w:val="00606634"/>
    <w:rsid w:val="0060690E"/>
    <w:rsid w:val="00606999"/>
    <w:rsid w:val="00606B27"/>
    <w:rsid w:val="0060786D"/>
    <w:rsid w:val="006104E2"/>
    <w:rsid w:val="0061072A"/>
    <w:rsid w:val="0061107C"/>
    <w:rsid w:val="00611189"/>
    <w:rsid w:val="00611287"/>
    <w:rsid w:val="00611714"/>
    <w:rsid w:val="00611715"/>
    <w:rsid w:val="00611855"/>
    <w:rsid w:val="00611B38"/>
    <w:rsid w:val="006122C1"/>
    <w:rsid w:val="006136B7"/>
    <w:rsid w:val="006136FD"/>
    <w:rsid w:val="00613724"/>
    <w:rsid w:val="00613CF3"/>
    <w:rsid w:val="0061439E"/>
    <w:rsid w:val="0061446B"/>
    <w:rsid w:val="0061478D"/>
    <w:rsid w:val="00614929"/>
    <w:rsid w:val="00615302"/>
    <w:rsid w:val="006155C4"/>
    <w:rsid w:val="006166E9"/>
    <w:rsid w:val="0061726A"/>
    <w:rsid w:val="006178C6"/>
    <w:rsid w:val="00617F52"/>
    <w:rsid w:val="006209A8"/>
    <w:rsid w:val="00620BA3"/>
    <w:rsid w:val="00620D74"/>
    <w:rsid w:val="0062130E"/>
    <w:rsid w:val="00621318"/>
    <w:rsid w:val="006224C1"/>
    <w:rsid w:val="006227DA"/>
    <w:rsid w:val="006227E2"/>
    <w:rsid w:val="00622C55"/>
    <w:rsid w:val="00623DF9"/>
    <w:rsid w:val="00624561"/>
    <w:rsid w:val="006245CF"/>
    <w:rsid w:val="00624960"/>
    <w:rsid w:val="00624E24"/>
    <w:rsid w:val="00624E2C"/>
    <w:rsid w:val="00624F02"/>
    <w:rsid w:val="00625A03"/>
    <w:rsid w:val="00625B2F"/>
    <w:rsid w:val="00626187"/>
    <w:rsid w:val="00626984"/>
    <w:rsid w:val="00626C24"/>
    <w:rsid w:val="006271D9"/>
    <w:rsid w:val="00627F32"/>
    <w:rsid w:val="0063084D"/>
    <w:rsid w:val="006308F0"/>
    <w:rsid w:val="0063091A"/>
    <w:rsid w:val="00630BB7"/>
    <w:rsid w:val="00631186"/>
    <w:rsid w:val="00631339"/>
    <w:rsid w:val="006313F5"/>
    <w:rsid w:val="0063193D"/>
    <w:rsid w:val="00632061"/>
    <w:rsid w:val="00632592"/>
    <w:rsid w:val="00632655"/>
    <w:rsid w:val="00632745"/>
    <w:rsid w:val="006333A3"/>
    <w:rsid w:val="00633683"/>
    <w:rsid w:val="006346B7"/>
    <w:rsid w:val="00634865"/>
    <w:rsid w:val="00635631"/>
    <w:rsid w:val="00635980"/>
    <w:rsid w:val="00635E0B"/>
    <w:rsid w:val="00636477"/>
    <w:rsid w:val="00636B38"/>
    <w:rsid w:val="006373C5"/>
    <w:rsid w:val="00637486"/>
    <w:rsid w:val="006376ED"/>
    <w:rsid w:val="0063777F"/>
    <w:rsid w:val="00637D6C"/>
    <w:rsid w:val="006406C4"/>
    <w:rsid w:val="00640734"/>
    <w:rsid w:val="006408FB"/>
    <w:rsid w:val="00640936"/>
    <w:rsid w:val="00640C20"/>
    <w:rsid w:val="00641B34"/>
    <w:rsid w:val="00641D61"/>
    <w:rsid w:val="00642430"/>
    <w:rsid w:val="006425E4"/>
    <w:rsid w:val="0064260A"/>
    <w:rsid w:val="006448F8"/>
    <w:rsid w:val="006453C5"/>
    <w:rsid w:val="006458EC"/>
    <w:rsid w:val="00645F23"/>
    <w:rsid w:val="00646B3D"/>
    <w:rsid w:val="00646C1B"/>
    <w:rsid w:val="00647477"/>
    <w:rsid w:val="006475CE"/>
    <w:rsid w:val="00647EB3"/>
    <w:rsid w:val="00651138"/>
    <w:rsid w:val="006511A3"/>
    <w:rsid w:val="00651807"/>
    <w:rsid w:val="00651A62"/>
    <w:rsid w:val="006520A7"/>
    <w:rsid w:val="006527A8"/>
    <w:rsid w:val="00653100"/>
    <w:rsid w:val="006535F3"/>
    <w:rsid w:val="006550B5"/>
    <w:rsid w:val="006559C3"/>
    <w:rsid w:val="00655A00"/>
    <w:rsid w:val="006561D7"/>
    <w:rsid w:val="0065633E"/>
    <w:rsid w:val="006566F6"/>
    <w:rsid w:val="00656A22"/>
    <w:rsid w:val="00656C30"/>
    <w:rsid w:val="00657D09"/>
    <w:rsid w:val="00660FB3"/>
    <w:rsid w:val="006610A6"/>
    <w:rsid w:val="006613E6"/>
    <w:rsid w:val="00661C98"/>
    <w:rsid w:val="00661E38"/>
    <w:rsid w:val="0066237F"/>
    <w:rsid w:val="00662E47"/>
    <w:rsid w:val="006632F9"/>
    <w:rsid w:val="00663B82"/>
    <w:rsid w:val="00663BF7"/>
    <w:rsid w:val="00663EDB"/>
    <w:rsid w:val="00664219"/>
    <w:rsid w:val="00664482"/>
    <w:rsid w:val="00664DA9"/>
    <w:rsid w:val="0066598D"/>
    <w:rsid w:val="006659BE"/>
    <w:rsid w:val="00665E7A"/>
    <w:rsid w:val="00666C63"/>
    <w:rsid w:val="00666E11"/>
    <w:rsid w:val="00670201"/>
    <w:rsid w:val="00670A6D"/>
    <w:rsid w:val="00671CBE"/>
    <w:rsid w:val="00671EF5"/>
    <w:rsid w:val="00673610"/>
    <w:rsid w:val="00674346"/>
    <w:rsid w:val="00675797"/>
    <w:rsid w:val="00675919"/>
    <w:rsid w:val="00675F26"/>
    <w:rsid w:val="006764B3"/>
    <w:rsid w:val="00677649"/>
    <w:rsid w:val="00677856"/>
    <w:rsid w:val="0068029C"/>
    <w:rsid w:val="0068062F"/>
    <w:rsid w:val="00680F24"/>
    <w:rsid w:val="00681447"/>
    <w:rsid w:val="00681683"/>
    <w:rsid w:val="00681700"/>
    <w:rsid w:val="00683FDC"/>
    <w:rsid w:val="006847AF"/>
    <w:rsid w:val="00684A24"/>
    <w:rsid w:val="006858E7"/>
    <w:rsid w:val="00685AF2"/>
    <w:rsid w:val="00685B20"/>
    <w:rsid w:val="00687182"/>
    <w:rsid w:val="00687AFB"/>
    <w:rsid w:val="00687B79"/>
    <w:rsid w:val="00687E61"/>
    <w:rsid w:val="00690064"/>
    <w:rsid w:val="006905C6"/>
    <w:rsid w:val="006907C5"/>
    <w:rsid w:val="00690A19"/>
    <w:rsid w:val="00690E16"/>
    <w:rsid w:val="0069109A"/>
    <w:rsid w:val="00691446"/>
    <w:rsid w:val="006917CD"/>
    <w:rsid w:val="00691B34"/>
    <w:rsid w:val="00691D95"/>
    <w:rsid w:val="00691DFE"/>
    <w:rsid w:val="006924C1"/>
    <w:rsid w:val="00692780"/>
    <w:rsid w:val="00692A00"/>
    <w:rsid w:val="006934ED"/>
    <w:rsid w:val="00693548"/>
    <w:rsid w:val="00693595"/>
    <w:rsid w:val="00693928"/>
    <w:rsid w:val="006939D7"/>
    <w:rsid w:val="006947A9"/>
    <w:rsid w:val="006949D2"/>
    <w:rsid w:val="00694C06"/>
    <w:rsid w:val="00694C5F"/>
    <w:rsid w:val="00695140"/>
    <w:rsid w:val="006955B2"/>
    <w:rsid w:val="00696917"/>
    <w:rsid w:val="006971D7"/>
    <w:rsid w:val="00697544"/>
    <w:rsid w:val="00697946"/>
    <w:rsid w:val="006A028F"/>
    <w:rsid w:val="006A0AF2"/>
    <w:rsid w:val="006A0DE8"/>
    <w:rsid w:val="006A2333"/>
    <w:rsid w:val="006A23D3"/>
    <w:rsid w:val="006A38F5"/>
    <w:rsid w:val="006A4D43"/>
    <w:rsid w:val="006A6325"/>
    <w:rsid w:val="006A6E1D"/>
    <w:rsid w:val="006A71A2"/>
    <w:rsid w:val="006A72F2"/>
    <w:rsid w:val="006A742B"/>
    <w:rsid w:val="006A757A"/>
    <w:rsid w:val="006A77B9"/>
    <w:rsid w:val="006A7A0B"/>
    <w:rsid w:val="006B15F7"/>
    <w:rsid w:val="006B169E"/>
    <w:rsid w:val="006B177F"/>
    <w:rsid w:val="006B1A42"/>
    <w:rsid w:val="006B1A89"/>
    <w:rsid w:val="006B2842"/>
    <w:rsid w:val="006B2E90"/>
    <w:rsid w:val="006B2E9F"/>
    <w:rsid w:val="006B32AB"/>
    <w:rsid w:val="006B33B4"/>
    <w:rsid w:val="006B388A"/>
    <w:rsid w:val="006B5691"/>
    <w:rsid w:val="006B58E6"/>
    <w:rsid w:val="006B652D"/>
    <w:rsid w:val="006B65A7"/>
    <w:rsid w:val="006B682E"/>
    <w:rsid w:val="006B68E0"/>
    <w:rsid w:val="006B6C95"/>
    <w:rsid w:val="006B6F8B"/>
    <w:rsid w:val="006B72FB"/>
    <w:rsid w:val="006B7F66"/>
    <w:rsid w:val="006C1AC7"/>
    <w:rsid w:val="006C209F"/>
    <w:rsid w:val="006C2544"/>
    <w:rsid w:val="006C320A"/>
    <w:rsid w:val="006C32DC"/>
    <w:rsid w:val="006C3577"/>
    <w:rsid w:val="006C4BC8"/>
    <w:rsid w:val="006C4E53"/>
    <w:rsid w:val="006C56DA"/>
    <w:rsid w:val="006C5846"/>
    <w:rsid w:val="006C6511"/>
    <w:rsid w:val="006C655B"/>
    <w:rsid w:val="006C76FB"/>
    <w:rsid w:val="006D001F"/>
    <w:rsid w:val="006D1884"/>
    <w:rsid w:val="006D1972"/>
    <w:rsid w:val="006D19FD"/>
    <w:rsid w:val="006D1A13"/>
    <w:rsid w:val="006D1F1E"/>
    <w:rsid w:val="006D329F"/>
    <w:rsid w:val="006D32F6"/>
    <w:rsid w:val="006D4362"/>
    <w:rsid w:val="006D49AC"/>
    <w:rsid w:val="006D4A96"/>
    <w:rsid w:val="006D4AA0"/>
    <w:rsid w:val="006D4B3F"/>
    <w:rsid w:val="006D4C62"/>
    <w:rsid w:val="006D547A"/>
    <w:rsid w:val="006D5A84"/>
    <w:rsid w:val="006D5B3B"/>
    <w:rsid w:val="006D5C23"/>
    <w:rsid w:val="006D60C2"/>
    <w:rsid w:val="006D629F"/>
    <w:rsid w:val="006D67E2"/>
    <w:rsid w:val="006D698F"/>
    <w:rsid w:val="006D6D66"/>
    <w:rsid w:val="006D712C"/>
    <w:rsid w:val="006D7ADA"/>
    <w:rsid w:val="006D7B17"/>
    <w:rsid w:val="006E0D0F"/>
    <w:rsid w:val="006E1047"/>
    <w:rsid w:val="006E1373"/>
    <w:rsid w:val="006E16AE"/>
    <w:rsid w:val="006E1820"/>
    <w:rsid w:val="006E237B"/>
    <w:rsid w:val="006E29A5"/>
    <w:rsid w:val="006E3763"/>
    <w:rsid w:val="006E37A9"/>
    <w:rsid w:val="006E38D8"/>
    <w:rsid w:val="006E3A5D"/>
    <w:rsid w:val="006E43AD"/>
    <w:rsid w:val="006E45C9"/>
    <w:rsid w:val="006E4C13"/>
    <w:rsid w:val="006E638A"/>
    <w:rsid w:val="006E6450"/>
    <w:rsid w:val="006E6A83"/>
    <w:rsid w:val="006E6BD0"/>
    <w:rsid w:val="006E7C12"/>
    <w:rsid w:val="006F07C5"/>
    <w:rsid w:val="006F0849"/>
    <w:rsid w:val="006F0A20"/>
    <w:rsid w:val="006F0BE7"/>
    <w:rsid w:val="006F0E5F"/>
    <w:rsid w:val="006F1312"/>
    <w:rsid w:val="006F1D3B"/>
    <w:rsid w:val="006F1D7D"/>
    <w:rsid w:val="006F1DDA"/>
    <w:rsid w:val="006F1EFB"/>
    <w:rsid w:val="006F265F"/>
    <w:rsid w:val="006F32B3"/>
    <w:rsid w:val="006F41C3"/>
    <w:rsid w:val="006F44B3"/>
    <w:rsid w:val="006F460E"/>
    <w:rsid w:val="006F4DBC"/>
    <w:rsid w:val="006F5135"/>
    <w:rsid w:val="006F54CC"/>
    <w:rsid w:val="006F5528"/>
    <w:rsid w:val="006F552B"/>
    <w:rsid w:val="006F5782"/>
    <w:rsid w:val="006F5850"/>
    <w:rsid w:val="006F6039"/>
    <w:rsid w:val="006F6659"/>
    <w:rsid w:val="006F71DA"/>
    <w:rsid w:val="006F7553"/>
    <w:rsid w:val="006F79AB"/>
    <w:rsid w:val="006F7E8D"/>
    <w:rsid w:val="007005DF"/>
    <w:rsid w:val="0070081B"/>
    <w:rsid w:val="0070113A"/>
    <w:rsid w:val="0070184A"/>
    <w:rsid w:val="00701A88"/>
    <w:rsid w:val="00701ACD"/>
    <w:rsid w:val="00701B21"/>
    <w:rsid w:val="00701D40"/>
    <w:rsid w:val="007026D6"/>
    <w:rsid w:val="00702909"/>
    <w:rsid w:val="00702CAC"/>
    <w:rsid w:val="007032DC"/>
    <w:rsid w:val="00703E35"/>
    <w:rsid w:val="00704168"/>
    <w:rsid w:val="00704C82"/>
    <w:rsid w:val="00704E4F"/>
    <w:rsid w:val="00705989"/>
    <w:rsid w:val="00705BDB"/>
    <w:rsid w:val="00705C33"/>
    <w:rsid w:val="00710138"/>
    <w:rsid w:val="007105EE"/>
    <w:rsid w:val="007109B3"/>
    <w:rsid w:val="00710A63"/>
    <w:rsid w:val="00710C6F"/>
    <w:rsid w:val="00710E30"/>
    <w:rsid w:val="00711895"/>
    <w:rsid w:val="007119C8"/>
    <w:rsid w:val="00711ECE"/>
    <w:rsid w:val="007130A0"/>
    <w:rsid w:val="00713159"/>
    <w:rsid w:val="007133FE"/>
    <w:rsid w:val="00713598"/>
    <w:rsid w:val="0071382D"/>
    <w:rsid w:val="00713884"/>
    <w:rsid w:val="00713A65"/>
    <w:rsid w:val="00714100"/>
    <w:rsid w:val="00714199"/>
    <w:rsid w:val="007142F6"/>
    <w:rsid w:val="007149A9"/>
    <w:rsid w:val="00714DD2"/>
    <w:rsid w:val="00715B0A"/>
    <w:rsid w:val="0071610F"/>
    <w:rsid w:val="007166D2"/>
    <w:rsid w:val="00716880"/>
    <w:rsid w:val="00716A9D"/>
    <w:rsid w:val="00716AF5"/>
    <w:rsid w:val="007170CB"/>
    <w:rsid w:val="007200B1"/>
    <w:rsid w:val="00720B93"/>
    <w:rsid w:val="00720E47"/>
    <w:rsid w:val="00721197"/>
    <w:rsid w:val="00721205"/>
    <w:rsid w:val="00721638"/>
    <w:rsid w:val="00721691"/>
    <w:rsid w:val="00721B73"/>
    <w:rsid w:val="00722486"/>
    <w:rsid w:val="00722C14"/>
    <w:rsid w:val="00723705"/>
    <w:rsid w:val="007238C7"/>
    <w:rsid w:val="00724227"/>
    <w:rsid w:val="00724AC4"/>
    <w:rsid w:val="00724C04"/>
    <w:rsid w:val="00724C3A"/>
    <w:rsid w:val="00724F94"/>
    <w:rsid w:val="0072534C"/>
    <w:rsid w:val="0072540F"/>
    <w:rsid w:val="00725702"/>
    <w:rsid w:val="00726775"/>
    <w:rsid w:val="00727C3E"/>
    <w:rsid w:val="00727C66"/>
    <w:rsid w:val="0073032D"/>
    <w:rsid w:val="00730BFB"/>
    <w:rsid w:val="007314F8"/>
    <w:rsid w:val="00731535"/>
    <w:rsid w:val="00731622"/>
    <w:rsid w:val="00731678"/>
    <w:rsid w:val="00732242"/>
    <w:rsid w:val="00732754"/>
    <w:rsid w:val="00733BB7"/>
    <w:rsid w:val="00736434"/>
    <w:rsid w:val="00737584"/>
    <w:rsid w:val="007377F9"/>
    <w:rsid w:val="00737AC2"/>
    <w:rsid w:val="00740D0B"/>
    <w:rsid w:val="00741174"/>
    <w:rsid w:val="00741185"/>
    <w:rsid w:val="00741476"/>
    <w:rsid w:val="00741869"/>
    <w:rsid w:val="00741A0D"/>
    <w:rsid w:val="0074205F"/>
    <w:rsid w:val="0074248F"/>
    <w:rsid w:val="007428D4"/>
    <w:rsid w:val="00742B89"/>
    <w:rsid w:val="0074383C"/>
    <w:rsid w:val="0074418E"/>
    <w:rsid w:val="007441AA"/>
    <w:rsid w:val="00744662"/>
    <w:rsid w:val="00744948"/>
    <w:rsid w:val="00745870"/>
    <w:rsid w:val="00745A36"/>
    <w:rsid w:val="007464DE"/>
    <w:rsid w:val="007465DD"/>
    <w:rsid w:val="00746DD4"/>
    <w:rsid w:val="0074784F"/>
    <w:rsid w:val="007479EF"/>
    <w:rsid w:val="00750388"/>
    <w:rsid w:val="00750441"/>
    <w:rsid w:val="0075076B"/>
    <w:rsid w:val="00750B87"/>
    <w:rsid w:val="00750BBA"/>
    <w:rsid w:val="00750E3B"/>
    <w:rsid w:val="00751A4A"/>
    <w:rsid w:val="00751CB1"/>
    <w:rsid w:val="00751E0A"/>
    <w:rsid w:val="00752B7D"/>
    <w:rsid w:val="00752BD0"/>
    <w:rsid w:val="00753014"/>
    <w:rsid w:val="00753325"/>
    <w:rsid w:val="00753575"/>
    <w:rsid w:val="007538D7"/>
    <w:rsid w:val="0075401E"/>
    <w:rsid w:val="00754057"/>
    <w:rsid w:val="0075426C"/>
    <w:rsid w:val="00754659"/>
    <w:rsid w:val="007549D5"/>
    <w:rsid w:val="00754C00"/>
    <w:rsid w:val="007558B2"/>
    <w:rsid w:val="00755922"/>
    <w:rsid w:val="00755C4F"/>
    <w:rsid w:val="00755D63"/>
    <w:rsid w:val="00755E8C"/>
    <w:rsid w:val="00755F24"/>
    <w:rsid w:val="0075620D"/>
    <w:rsid w:val="007562A4"/>
    <w:rsid w:val="0075669C"/>
    <w:rsid w:val="00756949"/>
    <w:rsid w:val="00756EA1"/>
    <w:rsid w:val="00756FA2"/>
    <w:rsid w:val="007570EA"/>
    <w:rsid w:val="007577E3"/>
    <w:rsid w:val="00757AFA"/>
    <w:rsid w:val="00757CF9"/>
    <w:rsid w:val="00760556"/>
    <w:rsid w:val="00760A57"/>
    <w:rsid w:val="00760A76"/>
    <w:rsid w:val="00760B57"/>
    <w:rsid w:val="0076168A"/>
    <w:rsid w:val="00761785"/>
    <w:rsid w:val="007618BB"/>
    <w:rsid w:val="0076191A"/>
    <w:rsid w:val="0076244C"/>
    <w:rsid w:val="00762695"/>
    <w:rsid w:val="00762831"/>
    <w:rsid w:val="00763581"/>
    <w:rsid w:val="00763A58"/>
    <w:rsid w:val="00763F19"/>
    <w:rsid w:val="0076463A"/>
    <w:rsid w:val="00764FC1"/>
    <w:rsid w:val="007651E9"/>
    <w:rsid w:val="00766537"/>
    <w:rsid w:val="007665A0"/>
    <w:rsid w:val="0076732F"/>
    <w:rsid w:val="007676A3"/>
    <w:rsid w:val="007679CC"/>
    <w:rsid w:val="00767B6E"/>
    <w:rsid w:val="00770433"/>
    <w:rsid w:val="007716FE"/>
    <w:rsid w:val="00771CC1"/>
    <w:rsid w:val="00771D68"/>
    <w:rsid w:val="007720E2"/>
    <w:rsid w:val="007726E3"/>
    <w:rsid w:val="007730AD"/>
    <w:rsid w:val="00773707"/>
    <w:rsid w:val="00773DB2"/>
    <w:rsid w:val="007741C6"/>
    <w:rsid w:val="00774760"/>
    <w:rsid w:val="00774FD6"/>
    <w:rsid w:val="007750A8"/>
    <w:rsid w:val="00775C6A"/>
    <w:rsid w:val="00776B70"/>
    <w:rsid w:val="00776C6B"/>
    <w:rsid w:val="00776F5E"/>
    <w:rsid w:val="00777FC8"/>
    <w:rsid w:val="0078088D"/>
    <w:rsid w:val="00780C10"/>
    <w:rsid w:val="00781422"/>
    <w:rsid w:val="0078180D"/>
    <w:rsid w:val="00781FA5"/>
    <w:rsid w:val="00782936"/>
    <w:rsid w:val="00782C2E"/>
    <w:rsid w:val="00782CB2"/>
    <w:rsid w:val="00782E60"/>
    <w:rsid w:val="00783061"/>
    <w:rsid w:val="00783131"/>
    <w:rsid w:val="00783607"/>
    <w:rsid w:val="00783B67"/>
    <w:rsid w:val="007840C8"/>
    <w:rsid w:val="0078428E"/>
    <w:rsid w:val="007844B0"/>
    <w:rsid w:val="00784F7E"/>
    <w:rsid w:val="00785371"/>
    <w:rsid w:val="00785485"/>
    <w:rsid w:val="00785826"/>
    <w:rsid w:val="00785922"/>
    <w:rsid w:val="007859CD"/>
    <w:rsid w:val="007859D8"/>
    <w:rsid w:val="00785F2E"/>
    <w:rsid w:val="0078616D"/>
    <w:rsid w:val="00786446"/>
    <w:rsid w:val="00786E47"/>
    <w:rsid w:val="00786F76"/>
    <w:rsid w:val="0078711C"/>
    <w:rsid w:val="00787F0D"/>
    <w:rsid w:val="007902A4"/>
    <w:rsid w:val="00790371"/>
    <w:rsid w:val="00790C62"/>
    <w:rsid w:val="00790DCB"/>
    <w:rsid w:val="00790E98"/>
    <w:rsid w:val="00791DFD"/>
    <w:rsid w:val="00791E78"/>
    <w:rsid w:val="00791F10"/>
    <w:rsid w:val="00791FB1"/>
    <w:rsid w:val="00792103"/>
    <w:rsid w:val="00792B66"/>
    <w:rsid w:val="007932FA"/>
    <w:rsid w:val="00793532"/>
    <w:rsid w:val="0079375D"/>
    <w:rsid w:val="00793B3F"/>
    <w:rsid w:val="00794187"/>
    <w:rsid w:val="00794E05"/>
    <w:rsid w:val="0079513D"/>
    <w:rsid w:val="00795274"/>
    <w:rsid w:val="0079537D"/>
    <w:rsid w:val="00795B9A"/>
    <w:rsid w:val="00796998"/>
    <w:rsid w:val="00796C04"/>
    <w:rsid w:val="0079749C"/>
    <w:rsid w:val="007974D3"/>
    <w:rsid w:val="00797879"/>
    <w:rsid w:val="00797A95"/>
    <w:rsid w:val="00797DA6"/>
    <w:rsid w:val="007A0181"/>
    <w:rsid w:val="007A02C8"/>
    <w:rsid w:val="007A054B"/>
    <w:rsid w:val="007A092E"/>
    <w:rsid w:val="007A0EA7"/>
    <w:rsid w:val="007A17D9"/>
    <w:rsid w:val="007A1864"/>
    <w:rsid w:val="007A1C1D"/>
    <w:rsid w:val="007A301D"/>
    <w:rsid w:val="007A30DC"/>
    <w:rsid w:val="007A3A04"/>
    <w:rsid w:val="007A3DDC"/>
    <w:rsid w:val="007A3FAA"/>
    <w:rsid w:val="007A4149"/>
    <w:rsid w:val="007A4538"/>
    <w:rsid w:val="007A47E6"/>
    <w:rsid w:val="007A48C1"/>
    <w:rsid w:val="007A589A"/>
    <w:rsid w:val="007A6B9A"/>
    <w:rsid w:val="007A76CD"/>
    <w:rsid w:val="007A7F70"/>
    <w:rsid w:val="007B00C2"/>
    <w:rsid w:val="007B04D9"/>
    <w:rsid w:val="007B06C1"/>
    <w:rsid w:val="007B083C"/>
    <w:rsid w:val="007B0E7A"/>
    <w:rsid w:val="007B0EA0"/>
    <w:rsid w:val="007B112B"/>
    <w:rsid w:val="007B1340"/>
    <w:rsid w:val="007B15BE"/>
    <w:rsid w:val="007B2224"/>
    <w:rsid w:val="007B30FF"/>
    <w:rsid w:val="007B3242"/>
    <w:rsid w:val="007B3524"/>
    <w:rsid w:val="007B35AF"/>
    <w:rsid w:val="007B36AD"/>
    <w:rsid w:val="007B3898"/>
    <w:rsid w:val="007B4E30"/>
    <w:rsid w:val="007B4FF3"/>
    <w:rsid w:val="007B5763"/>
    <w:rsid w:val="007B5907"/>
    <w:rsid w:val="007B5EBA"/>
    <w:rsid w:val="007B748C"/>
    <w:rsid w:val="007C0362"/>
    <w:rsid w:val="007C04D7"/>
    <w:rsid w:val="007C1072"/>
    <w:rsid w:val="007C142A"/>
    <w:rsid w:val="007C1F67"/>
    <w:rsid w:val="007C35C3"/>
    <w:rsid w:val="007C3960"/>
    <w:rsid w:val="007C3C7A"/>
    <w:rsid w:val="007C418C"/>
    <w:rsid w:val="007C42BA"/>
    <w:rsid w:val="007C48DA"/>
    <w:rsid w:val="007C5125"/>
    <w:rsid w:val="007C573A"/>
    <w:rsid w:val="007C6182"/>
    <w:rsid w:val="007C65E8"/>
    <w:rsid w:val="007C752D"/>
    <w:rsid w:val="007D007F"/>
    <w:rsid w:val="007D07F3"/>
    <w:rsid w:val="007D1222"/>
    <w:rsid w:val="007D1DA4"/>
    <w:rsid w:val="007D244F"/>
    <w:rsid w:val="007D29A4"/>
    <w:rsid w:val="007D29D3"/>
    <w:rsid w:val="007D2E8C"/>
    <w:rsid w:val="007D36A7"/>
    <w:rsid w:val="007D3827"/>
    <w:rsid w:val="007D3CD8"/>
    <w:rsid w:val="007D408C"/>
    <w:rsid w:val="007D425C"/>
    <w:rsid w:val="007D46CD"/>
    <w:rsid w:val="007D4C5A"/>
    <w:rsid w:val="007D50FF"/>
    <w:rsid w:val="007D5184"/>
    <w:rsid w:val="007D5D9F"/>
    <w:rsid w:val="007D69C0"/>
    <w:rsid w:val="007D6AB2"/>
    <w:rsid w:val="007E030B"/>
    <w:rsid w:val="007E0CD5"/>
    <w:rsid w:val="007E0FF8"/>
    <w:rsid w:val="007E1229"/>
    <w:rsid w:val="007E1778"/>
    <w:rsid w:val="007E1DE4"/>
    <w:rsid w:val="007E239B"/>
    <w:rsid w:val="007E26AE"/>
    <w:rsid w:val="007E2C69"/>
    <w:rsid w:val="007E39ED"/>
    <w:rsid w:val="007E3BA0"/>
    <w:rsid w:val="007E3E99"/>
    <w:rsid w:val="007E451B"/>
    <w:rsid w:val="007E4946"/>
    <w:rsid w:val="007E4D95"/>
    <w:rsid w:val="007E4F1D"/>
    <w:rsid w:val="007E57A6"/>
    <w:rsid w:val="007E5A5B"/>
    <w:rsid w:val="007E60F0"/>
    <w:rsid w:val="007E6B4A"/>
    <w:rsid w:val="007E6C59"/>
    <w:rsid w:val="007E6F56"/>
    <w:rsid w:val="007E706F"/>
    <w:rsid w:val="007E707F"/>
    <w:rsid w:val="007E7F22"/>
    <w:rsid w:val="007F007B"/>
    <w:rsid w:val="007F0641"/>
    <w:rsid w:val="007F1151"/>
    <w:rsid w:val="007F122B"/>
    <w:rsid w:val="007F13B3"/>
    <w:rsid w:val="007F1411"/>
    <w:rsid w:val="007F165A"/>
    <w:rsid w:val="007F1DA0"/>
    <w:rsid w:val="007F23CB"/>
    <w:rsid w:val="007F264F"/>
    <w:rsid w:val="007F2DAE"/>
    <w:rsid w:val="007F2F54"/>
    <w:rsid w:val="007F2F65"/>
    <w:rsid w:val="007F3038"/>
    <w:rsid w:val="007F30B6"/>
    <w:rsid w:val="007F37DF"/>
    <w:rsid w:val="007F3BED"/>
    <w:rsid w:val="007F4895"/>
    <w:rsid w:val="007F4A25"/>
    <w:rsid w:val="007F5819"/>
    <w:rsid w:val="007F58FB"/>
    <w:rsid w:val="007F5F6A"/>
    <w:rsid w:val="007F6642"/>
    <w:rsid w:val="007F6C1E"/>
    <w:rsid w:val="007F6D2F"/>
    <w:rsid w:val="007F7166"/>
    <w:rsid w:val="007F7507"/>
    <w:rsid w:val="007F7ACF"/>
    <w:rsid w:val="007F7C79"/>
    <w:rsid w:val="0080008D"/>
    <w:rsid w:val="008009F2"/>
    <w:rsid w:val="00800A28"/>
    <w:rsid w:val="00801748"/>
    <w:rsid w:val="008020DD"/>
    <w:rsid w:val="008035D0"/>
    <w:rsid w:val="00803FCE"/>
    <w:rsid w:val="00804E3F"/>
    <w:rsid w:val="00805060"/>
    <w:rsid w:val="00805483"/>
    <w:rsid w:val="008063E1"/>
    <w:rsid w:val="00807044"/>
    <w:rsid w:val="008072E4"/>
    <w:rsid w:val="0081085D"/>
    <w:rsid w:val="00810A4B"/>
    <w:rsid w:val="00810CA6"/>
    <w:rsid w:val="00810D0B"/>
    <w:rsid w:val="00811086"/>
    <w:rsid w:val="008113CC"/>
    <w:rsid w:val="00812846"/>
    <w:rsid w:val="008128B7"/>
    <w:rsid w:val="00812F87"/>
    <w:rsid w:val="00813605"/>
    <w:rsid w:val="0081382C"/>
    <w:rsid w:val="0081405E"/>
    <w:rsid w:val="00814951"/>
    <w:rsid w:val="00814AF7"/>
    <w:rsid w:val="00814C77"/>
    <w:rsid w:val="00815111"/>
    <w:rsid w:val="00816069"/>
    <w:rsid w:val="00816EBE"/>
    <w:rsid w:val="00816F44"/>
    <w:rsid w:val="00816FCD"/>
    <w:rsid w:val="00817583"/>
    <w:rsid w:val="00817850"/>
    <w:rsid w:val="00820040"/>
    <w:rsid w:val="0082014E"/>
    <w:rsid w:val="00820A92"/>
    <w:rsid w:val="00821358"/>
    <w:rsid w:val="008218D0"/>
    <w:rsid w:val="00821AC0"/>
    <w:rsid w:val="008223B3"/>
    <w:rsid w:val="008224A7"/>
    <w:rsid w:val="00822B1E"/>
    <w:rsid w:val="00823A8A"/>
    <w:rsid w:val="00823AFD"/>
    <w:rsid w:val="00823B4B"/>
    <w:rsid w:val="00823F36"/>
    <w:rsid w:val="008251CF"/>
    <w:rsid w:val="00826103"/>
    <w:rsid w:val="00826668"/>
    <w:rsid w:val="00826C8F"/>
    <w:rsid w:val="00826D96"/>
    <w:rsid w:val="008277CA"/>
    <w:rsid w:val="00827AD4"/>
    <w:rsid w:val="00830DCF"/>
    <w:rsid w:val="00831077"/>
    <w:rsid w:val="0083166C"/>
    <w:rsid w:val="008316AC"/>
    <w:rsid w:val="008319CF"/>
    <w:rsid w:val="00831A66"/>
    <w:rsid w:val="00831B3D"/>
    <w:rsid w:val="008324AA"/>
    <w:rsid w:val="008331AD"/>
    <w:rsid w:val="008339EF"/>
    <w:rsid w:val="008356BF"/>
    <w:rsid w:val="00836AD9"/>
    <w:rsid w:val="00836AF6"/>
    <w:rsid w:val="00837C97"/>
    <w:rsid w:val="00841543"/>
    <w:rsid w:val="00841B12"/>
    <w:rsid w:val="0084204F"/>
    <w:rsid w:val="00842C36"/>
    <w:rsid w:val="00844B0D"/>
    <w:rsid w:val="00844CCA"/>
    <w:rsid w:val="00844F46"/>
    <w:rsid w:val="00845478"/>
    <w:rsid w:val="00845B48"/>
    <w:rsid w:val="0084665E"/>
    <w:rsid w:val="008467A9"/>
    <w:rsid w:val="00846D31"/>
    <w:rsid w:val="00846F8E"/>
    <w:rsid w:val="00847B8D"/>
    <w:rsid w:val="00847C53"/>
    <w:rsid w:val="00847EDD"/>
    <w:rsid w:val="00850145"/>
    <w:rsid w:val="0085038F"/>
    <w:rsid w:val="008507DF"/>
    <w:rsid w:val="00850808"/>
    <w:rsid w:val="00850858"/>
    <w:rsid w:val="00850966"/>
    <w:rsid w:val="00850AEC"/>
    <w:rsid w:val="00850B85"/>
    <w:rsid w:val="00851B66"/>
    <w:rsid w:val="00851DF3"/>
    <w:rsid w:val="008521C8"/>
    <w:rsid w:val="00852288"/>
    <w:rsid w:val="00852E60"/>
    <w:rsid w:val="00853030"/>
    <w:rsid w:val="0085400D"/>
    <w:rsid w:val="00854062"/>
    <w:rsid w:val="00854BAA"/>
    <w:rsid w:val="00855089"/>
    <w:rsid w:val="0085575A"/>
    <w:rsid w:val="00855A02"/>
    <w:rsid w:val="008563F0"/>
    <w:rsid w:val="00856B9B"/>
    <w:rsid w:val="008575C8"/>
    <w:rsid w:val="00857AAF"/>
    <w:rsid w:val="0086070D"/>
    <w:rsid w:val="00861352"/>
    <w:rsid w:val="0086148E"/>
    <w:rsid w:val="00861921"/>
    <w:rsid w:val="00861E04"/>
    <w:rsid w:val="008624C1"/>
    <w:rsid w:val="0086297B"/>
    <w:rsid w:val="0086397C"/>
    <w:rsid w:val="0086406C"/>
    <w:rsid w:val="00864A0C"/>
    <w:rsid w:val="00864A8B"/>
    <w:rsid w:val="008658E9"/>
    <w:rsid w:val="008663E4"/>
    <w:rsid w:val="00866F6B"/>
    <w:rsid w:val="00866FB6"/>
    <w:rsid w:val="0086715E"/>
    <w:rsid w:val="00867227"/>
    <w:rsid w:val="00867330"/>
    <w:rsid w:val="00867E22"/>
    <w:rsid w:val="00867ED8"/>
    <w:rsid w:val="0087023C"/>
    <w:rsid w:val="008702D2"/>
    <w:rsid w:val="0087096F"/>
    <w:rsid w:val="00871A3D"/>
    <w:rsid w:val="00871B62"/>
    <w:rsid w:val="00871F3E"/>
    <w:rsid w:val="00872341"/>
    <w:rsid w:val="00872EFF"/>
    <w:rsid w:val="00873322"/>
    <w:rsid w:val="00873734"/>
    <w:rsid w:val="008737C9"/>
    <w:rsid w:val="00873CE6"/>
    <w:rsid w:val="00873E56"/>
    <w:rsid w:val="00874E00"/>
    <w:rsid w:val="00875423"/>
    <w:rsid w:val="00875D05"/>
    <w:rsid w:val="00875D4D"/>
    <w:rsid w:val="00876108"/>
    <w:rsid w:val="0087647F"/>
    <w:rsid w:val="008768D7"/>
    <w:rsid w:val="00877340"/>
    <w:rsid w:val="00877494"/>
    <w:rsid w:val="00881208"/>
    <w:rsid w:val="0088132F"/>
    <w:rsid w:val="00881413"/>
    <w:rsid w:val="00881861"/>
    <w:rsid w:val="0088205C"/>
    <w:rsid w:val="00882775"/>
    <w:rsid w:val="00882854"/>
    <w:rsid w:val="00883A45"/>
    <w:rsid w:val="00884075"/>
    <w:rsid w:val="00884ED0"/>
    <w:rsid w:val="00884EE5"/>
    <w:rsid w:val="008852E2"/>
    <w:rsid w:val="00885C57"/>
    <w:rsid w:val="00886202"/>
    <w:rsid w:val="008863D0"/>
    <w:rsid w:val="0088653A"/>
    <w:rsid w:val="00886559"/>
    <w:rsid w:val="008866B3"/>
    <w:rsid w:val="008866E3"/>
    <w:rsid w:val="00886728"/>
    <w:rsid w:val="008876CE"/>
    <w:rsid w:val="00887CD8"/>
    <w:rsid w:val="00887DB2"/>
    <w:rsid w:val="008904D4"/>
    <w:rsid w:val="00890CB2"/>
    <w:rsid w:val="00890D3F"/>
    <w:rsid w:val="0089177C"/>
    <w:rsid w:val="00891EC9"/>
    <w:rsid w:val="00892698"/>
    <w:rsid w:val="008928A7"/>
    <w:rsid w:val="00892DE1"/>
    <w:rsid w:val="0089322A"/>
    <w:rsid w:val="00893A9E"/>
    <w:rsid w:val="008942C0"/>
    <w:rsid w:val="008944F2"/>
    <w:rsid w:val="0089478B"/>
    <w:rsid w:val="00894E2D"/>
    <w:rsid w:val="00895C38"/>
    <w:rsid w:val="008962EF"/>
    <w:rsid w:val="00896FBA"/>
    <w:rsid w:val="008975DD"/>
    <w:rsid w:val="008A095E"/>
    <w:rsid w:val="008A0AC1"/>
    <w:rsid w:val="008A0B82"/>
    <w:rsid w:val="008A0D2B"/>
    <w:rsid w:val="008A0D58"/>
    <w:rsid w:val="008A1499"/>
    <w:rsid w:val="008A29DB"/>
    <w:rsid w:val="008A2E42"/>
    <w:rsid w:val="008A2EC4"/>
    <w:rsid w:val="008A3A44"/>
    <w:rsid w:val="008A4962"/>
    <w:rsid w:val="008A4A61"/>
    <w:rsid w:val="008A4C71"/>
    <w:rsid w:val="008A4FEF"/>
    <w:rsid w:val="008A526B"/>
    <w:rsid w:val="008A5607"/>
    <w:rsid w:val="008A5A7E"/>
    <w:rsid w:val="008A5F8E"/>
    <w:rsid w:val="008A6376"/>
    <w:rsid w:val="008A68B9"/>
    <w:rsid w:val="008A6BFF"/>
    <w:rsid w:val="008A6F4C"/>
    <w:rsid w:val="008A745F"/>
    <w:rsid w:val="008A74F3"/>
    <w:rsid w:val="008B0203"/>
    <w:rsid w:val="008B047A"/>
    <w:rsid w:val="008B077B"/>
    <w:rsid w:val="008B0AEC"/>
    <w:rsid w:val="008B0CDA"/>
    <w:rsid w:val="008B1A12"/>
    <w:rsid w:val="008B1BFB"/>
    <w:rsid w:val="008B1D76"/>
    <w:rsid w:val="008B2529"/>
    <w:rsid w:val="008B30A9"/>
    <w:rsid w:val="008B43E1"/>
    <w:rsid w:val="008B4798"/>
    <w:rsid w:val="008B4956"/>
    <w:rsid w:val="008B4A57"/>
    <w:rsid w:val="008B5599"/>
    <w:rsid w:val="008B60AB"/>
    <w:rsid w:val="008B6884"/>
    <w:rsid w:val="008B697F"/>
    <w:rsid w:val="008B6C7E"/>
    <w:rsid w:val="008B6DDB"/>
    <w:rsid w:val="008B6E1B"/>
    <w:rsid w:val="008B71AB"/>
    <w:rsid w:val="008B74D9"/>
    <w:rsid w:val="008B7759"/>
    <w:rsid w:val="008B7C99"/>
    <w:rsid w:val="008B7D50"/>
    <w:rsid w:val="008C0129"/>
    <w:rsid w:val="008C08CD"/>
    <w:rsid w:val="008C091A"/>
    <w:rsid w:val="008C0B10"/>
    <w:rsid w:val="008C0B31"/>
    <w:rsid w:val="008C1098"/>
    <w:rsid w:val="008C1BC5"/>
    <w:rsid w:val="008C1C2C"/>
    <w:rsid w:val="008C2F3C"/>
    <w:rsid w:val="008C32E0"/>
    <w:rsid w:val="008C33ED"/>
    <w:rsid w:val="008C3844"/>
    <w:rsid w:val="008C388C"/>
    <w:rsid w:val="008C4333"/>
    <w:rsid w:val="008C4A60"/>
    <w:rsid w:val="008C5A14"/>
    <w:rsid w:val="008C5B0F"/>
    <w:rsid w:val="008C5BC3"/>
    <w:rsid w:val="008C654A"/>
    <w:rsid w:val="008C7786"/>
    <w:rsid w:val="008D0075"/>
    <w:rsid w:val="008D027C"/>
    <w:rsid w:val="008D0F43"/>
    <w:rsid w:val="008D1935"/>
    <w:rsid w:val="008D1F1F"/>
    <w:rsid w:val="008D1FDF"/>
    <w:rsid w:val="008D2F42"/>
    <w:rsid w:val="008D3723"/>
    <w:rsid w:val="008D41FA"/>
    <w:rsid w:val="008D44C7"/>
    <w:rsid w:val="008D49F8"/>
    <w:rsid w:val="008D4AB4"/>
    <w:rsid w:val="008D5301"/>
    <w:rsid w:val="008D5342"/>
    <w:rsid w:val="008D53A4"/>
    <w:rsid w:val="008D53AD"/>
    <w:rsid w:val="008D6124"/>
    <w:rsid w:val="008D62DF"/>
    <w:rsid w:val="008D67C7"/>
    <w:rsid w:val="008D7183"/>
    <w:rsid w:val="008D7C78"/>
    <w:rsid w:val="008E001E"/>
    <w:rsid w:val="008E056A"/>
    <w:rsid w:val="008E06AE"/>
    <w:rsid w:val="008E0FA2"/>
    <w:rsid w:val="008E2293"/>
    <w:rsid w:val="008E2751"/>
    <w:rsid w:val="008E27C5"/>
    <w:rsid w:val="008E27DB"/>
    <w:rsid w:val="008E2962"/>
    <w:rsid w:val="008E29AA"/>
    <w:rsid w:val="008E31DB"/>
    <w:rsid w:val="008E3AFA"/>
    <w:rsid w:val="008E3BF4"/>
    <w:rsid w:val="008E4076"/>
    <w:rsid w:val="008E4422"/>
    <w:rsid w:val="008E45CB"/>
    <w:rsid w:val="008E483E"/>
    <w:rsid w:val="008E56F9"/>
    <w:rsid w:val="008E5841"/>
    <w:rsid w:val="008E5B7F"/>
    <w:rsid w:val="008E61DC"/>
    <w:rsid w:val="008E61F7"/>
    <w:rsid w:val="008E7073"/>
    <w:rsid w:val="008E70CC"/>
    <w:rsid w:val="008E74B9"/>
    <w:rsid w:val="008E78EA"/>
    <w:rsid w:val="008F0374"/>
    <w:rsid w:val="008F0529"/>
    <w:rsid w:val="008F07CD"/>
    <w:rsid w:val="008F0C42"/>
    <w:rsid w:val="008F0F03"/>
    <w:rsid w:val="008F1560"/>
    <w:rsid w:val="008F17FA"/>
    <w:rsid w:val="008F1CB5"/>
    <w:rsid w:val="008F223F"/>
    <w:rsid w:val="008F276C"/>
    <w:rsid w:val="008F29E8"/>
    <w:rsid w:val="008F338F"/>
    <w:rsid w:val="008F401F"/>
    <w:rsid w:val="008F48A6"/>
    <w:rsid w:val="008F4F63"/>
    <w:rsid w:val="008F5276"/>
    <w:rsid w:val="008F57EE"/>
    <w:rsid w:val="008F6B5F"/>
    <w:rsid w:val="008F6C42"/>
    <w:rsid w:val="008F772F"/>
    <w:rsid w:val="008F7760"/>
    <w:rsid w:val="008F7BC4"/>
    <w:rsid w:val="008F7C00"/>
    <w:rsid w:val="0090006B"/>
    <w:rsid w:val="00900E18"/>
    <w:rsid w:val="0090117E"/>
    <w:rsid w:val="00901D51"/>
    <w:rsid w:val="0090215A"/>
    <w:rsid w:val="009034C6"/>
    <w:rsid w:val="00903AA8"/>
    <w:rsid w:val="00903C9C"/>
    <w:rsid w:val="00903D92"/>
    <w:rsid w:val="00903FB5"/>
    <w:rsid w:val="00904429"/>
    <w:rsid w:val="00904E82"/>
    <w:rsid w:val="00905B6B"/>
    <w:rsid w:val="009062BE"/>
    <w:rsid w:val="009063C3"/>
    <w:rsid w:val="00906944"/>
    <w:rsid w:val="0090694A"/>
    <w:rsid w:val="009076C6"/>
    <w:rsid w:val="009078FC"/>
    <w:rsid w:val="00910869"/>
    <w:rsid w:val="00910B20"/>
    <w:rsid w:val="00910B2B"/>
    <w:rsid w:val="00910C9F"/>
    <w:rsid w:val="009111EB"/>
    <w:rsid w:val="009117B2"/>
    <w:rsid w:val="00911A47"/>
    <w:rsid w:val="0091250A"/>
    <w:rsid w:val="00912B3F"/>
    <w:rsid w:val="009133EA"/>
    <w:rsid w:val="00913559"/>
    <w:rsid w:val="009135D6"/>
    <w:rsid w:val="00913B7E"/>
    <w:rsid w:val="0091511B"/>
    <w:rsid w:val="0091553A"/>
    <w:rsid w:val="00916561"/>
    <w:rsid w:val="00916D28"/>
    <w:rsid w:val="00917027"/>
    <w:rsid w:val="00917070"/>
    <w:rsid w:val="0091736E"/>
    <w:rsid w:val="009175A3"/>
    <w:rsid w:val="00917901"/>
    <w:rsid w:val="00917B02"/>
    <w:rsid w:val="00917C5C"/>
    <w:rsid w:val="0092033A"/>
    <w:rsid w:val="00920C04"/>
    <w:rsid w:val="00920CE7"/>
    <w:rsid w:val="0092228F"/>
    <w:rsid w:val="00922816"/>
    <w:rsid w:val="0092293D"/>
    <w:rsid w:val="00922D14"/>
    <w:rsid w:val="00923488"/>
    <w:rsid w:val="00923B51"/>
    <w:rsid w:val="00923D5A"/>
    <w:rsid w:val="00923DA7"/>
    <w:rsid w:val="00923E0C"/>
    <w:rsid w:val="0092407F"/>
    <w:rsid w:val="00924290"/>
    <w:rsid w:val="0092491F"/>
    <w:rsid w:val="00924C57"/>
    <w:rsid w:val="00925023"/>
    <w:rsid w:val="0092515F"/>
    <w:rsid w:val="009252D3"/>
    <w:rsid w:val="0092571D"/>
    <w:rsid w:val="009259BA"/>
    <w:rsid w:val="00925C3E"/>
    <w:rsid w:val="00927449"/>
    <w:rsid w:val="009275DC"/>
    <w:rsid w:val="0092793E"/>
    <w:rsid w:val="00930034"/>
    <w:rsid w:val="00930332"/>
    <w:rsid w:val="009303B4"/>
    <w:rsid w:val="00930B3D"/>
    <w:rsid w:val="009312F8"/>
    <w:rsid w:val="009314F1"/>
    <w:rsid w:val="00931D04"/>
    <w:rsid w:val="00931D3E"/>
    <w:rsid w:val="00931F7D"/>
    <w:rsid w:val="00932352"/>
    <w:rsid w:val="0093279B"/>
    <w:rsid w:val="00932901"/>
    <w:rsid w:val="00932DAC"/>
    <w:rsid w:val="00933716"/>
    <w:rsid w:val="00933B20"/>
    <w:rsid w:val="0093442A"/>
    <w:rsid w:val="00935BDA"/>
    <w:rsid w:val="00936D12"/>
    <w:rsid w:val="00937E88"/>
    <w:rsid w:val="00937F7E"/>
    <w:rsid w:val="00941ED0"/>
    <w:rsid w:val="00942149"/>
    <w:rsid w:val="009421C4"/>
    <w:rsid w:val="009421FB"/>
    <w:rsid w:val="00942B44"/>
    <w:rsid w:val="0094317E"/>
    <w:rsid w:val="0094372F"/>
    <w:rsid w:val="00943DE6"/>
    <w:rsid w:val="00943FC2"/>
    <w:rsid w:val="00944AB5"/>
    <w:rsid w:val="009458D3"/>
    <w:rsid w:val="00945B41"/>
    <w:rsid w:val="00946ADF"/>
    <w:rsid w:val="0095006D"/>
    <w:rsid w:val="00950312"/>
    <w:rsid w:val="00950BA5"/>
    <w:rsid w:val="00951453"/>
    <w:rsid w:val="00952134"/>
    <w:rsid w:val="00952968"/>
    <w:rsid w:val="00952DC6"/>
    <w:rsid w:val="00953B52"/>
    <w:rsid w:val="00954035"/>
    <w:rsid w:val="0095416F"/>
    <w:rsid w:val="0095449F"/>
    <w:rsid w:val="00954607"/>
    <w:rsid w:val="009551BD"/>
    <w:rsid w:val="0095538F"/>
    <w:rsid w:val="00955659"/>
    <w:rsid w:val="00955AF6"/>
    <w:rsid w:val="009564A7"/>
    <w:rsid w:val="009568F0"/>
    <w:rsid w:val="00956A60"/>
    <w:rsid w:val="00956C79"/>
    <w:rsid w:val="009570DC"/>
    <w:rsid w:val="00957397"/>
    <w:rsid w:val="00957A0B"/>
    <w:rsid w:val="00957EC3"/>
    <w:rsid w:val="00960175"/>
    <w:rsid w:val="00960545"/>
    <w:rsid w:val="0096070E"/>
    <w:rsid w:val="00961634"/>
    <w:rsid w:val="00961850"/>
    <w:rsid w:val="00961953"/>
    <w:rsid w:val="009619B1"/>
    <w:rsid w:val="00961C06"/>
    <w:rsid w:val="009621D7"/>
    <w:rsid w:val="00962437"/>
    <w:rsid w:val="0096265D"/>
    <w:rsid w:val="009627BC"/>
    <w:rsid w:val="00962A25"/>
    <w:rsid w:val="00962B0A"/>
    <w:rsid w:val="0096354A"/>
    <w:rsid w:val="00963EB5"/>
    <w:rsid w:val="009653D6"/>
    <w:rsid w:val="009654D5"/>
    <w:rsid w:val="0096575E"/>
    <w:rsid w:val="00966104"/>
    <w:rsid w:val="009661B5"/>
    <w:rsid w:val="009663E7"/>
    <w:rsid w:val="009663FB"/>
    <w:rsid w:val="009666A7"/>
    <w:rsid w:val="00966F22"/>
    <w:rsid w:val="009673A4"/>
    <w:rsid w:val="009673C7"/>
    <w:rsid w:val="0097048D"/>
    <w:rsid w:val="00971D2B"/>
    <w:rsid w:val="00971EBE"/>
    <w:rsid w:val="009722AD"/>
    <w:rsid w:val="00972718"/>
    <w:rsid w:val="0097292C"/>
    <w:rsid w:val="00972ACD"/>
    <w:rsid w:val="009735A4"/>
    <w:rsid w:val="009735AF"/>
    <w:rsid w:val="00973C43"/>
    <w:rsid w:val="00974626"/>
    <w:rsid w:val="00974A21"/>
    <w:rsid w:val="00974B8B"/>
    <w:rsid w:val="00974D15"/>
    <w:rsid w:val="00976100"/>
    <w:rsid w:val="00976DCC"/>
    <w:rsid w:val="0097753A"/>
    <w:rsid w:val="00977987"/>
    <w:rsid w:val="00977BE7"/>
    <w:rsid w:val="00977E3C"/>
    <w:rsid w:val="0098068B"/>
    <w:rsid w:val="00981A5A"/>
    <w:rsid w:val="009821C9"/>
    <w:rsid w:val="00982625"/>
    <w:rsid w:val="00982755"/>
    <w:rsid w:val="009833D8"/>
    <w:rsid w:val="009837B2"/>
    <w:rsid w:val="00984757"/>
    <w:rsid w:val="0098483B"/>
    <w:rsid w:val="009849C2"/>
    <w:rsid w:val="00984A5F"/>
    <w:rsid w:val="00984ECC"/>
    <w:rsid w:val="00984ED7"/>
    <w:rsid w:val="00985327"/>
    <w:rsid w:val="009853DD"/>
    <w:rsid w:val="00985412"/>
    <w:rsid w:val="00985750"/>
    <w:rsid w:val="00985B25"/>
    <w:rsid w:val="00985BA1"/>
    <w:rsid w:val="00985D4E"/>
    <w:rsid w:val="00985D7C"/>
    <w:rsid w:val="00987336"/>
    <w:rsid w:val="0099099C"/>
    <w:rsid w:val="00990D47"/>
    <w:rsid w:val="00991064"/>
    <w:rsid w:val="0099162B"/>
    <w:rsid w:val="00991698"/>
    <w:rsid w:val="00991919"/>
    <w:rsid w:val="00991A4B"/>
    <w:rsid w:val="00992333"/>
    <w:rsid w:val="00993EB5"/>
    <w:rsid w:val="00994D5B"/>
    <w:rsid w:val="00994DA0"/>
    <w:rsid w:val="00994EE7"/>
    <w:rsid w:val="009964BB"/>
    <w:rsid w:val="00996772"/>
    <w:rsid w:val="00996796"/>
    <w:rsid w:val="00996BD9"/>
    <w:rsid w:val="0099702B"/>
    <w:rsid w:val="00997543"/>
    <w:rsid w:val="009975B6"/>
    <w:rsid w:val="009A0230"/>
    <w:rsid w:val="009A0875"/>
    <w:rsid w:val="009A135F"/>
    <w:rsid w:val="009A1471"/>
    <w:rsid w:val="009A16D2"/>
    <w:rsid w:val="009A1C94"/>
    <w:rsid w:val="009A2AA7"/>
    <w:rsid w:val="009A2F32"/>
    <w:rsid w:val="009A3432"/>
    <w:rsid w:val="009A43F3"/>
    <w:rsid w:val="009A44F4"/>
    <w:rsid w:val="009A46BF"/>
    <w:rsid w:val="009A485C"/>
    <w:rsid w:val="009A4FAE"/>
    <w:rsid w:val="009A56EF"/>
    <w:rsid w:val="009A5E72"/>
    <w:rsid w:val="009A64A5"/>
    <w:rsid w:val="009A707D"/>
    <w:rsid w:val="009A7505"/>
    <w:rsid w:val="009A7982"/>
    <w:rsid w:val="009A798A"/>
    <w:rsid w:val="009B072A"/>
    <w:rsid w:val="009B09C5"/>
    <w:rsid w:val="009B0A7F"/>
    <w:rsid w:val="009B0FEE"/>
    <w:rsid w:val="009B1989"/>
    <w:rsid w:val="009B1ABE"/>
    <w:rsid w:val="009B207F"/>
    <w:rsid w:val="009B2C54"/>
    <w:rsid w:val="009B3C16"/>
    <w:rsid w:val="009B4266"/>
    <w:rsid w:val="009B479E"/>
    <w:rsid w:val="009B4CA5"/>
    <w:rsid w:val="009B4D61"/>
    <w:rsid w:val="009B4E42"/>
    <w:rsid w:val="009B61AF"/>
    <w:rsid w:val="009B6849"/>
    <w:rsid w:val="009B770F"/>
    <w:rsid w:val="009B7E27"/>
    <w:rsid w:val="009B7E4A"/>
    <w:rsid w:val="009C02E6"/>
    <w:rsid w:val="009C0BBC"/>
    <w:rsid w:val="009C0D7C"/>
    <w:rsid w:val="009C15AC"/>
    <w:rsid w:val="009C1F54"/>
    <w:rsid w:val="009C21BA"/>
    <w:rsid w:val="009C21BF"/>
    <w:rsid w:val="009C234A"/>
    <w:rsid w:val="009C2556"/>
    <w:rsid w:val="009C2911"/>
    <w:rsid w:val="009C2B41"/>
    <w:rsid w:val="009C2E5D"/>
    <w:rsid w:val="009C34AF"/>
    <w:rsid w:val="009C36EC"/>
    <w:rsid w:val="009C39CA"/>
    <w:rsid w:val="009C39D7"/>
    <w:rsid w:val="009C3CE0"/>
    <w:rsid w:val="009C4D21"/>
    <w:rsid w:val="009C551F"/>
    <w:rsid w:val="009C5C71"/>
    <w:rsid w:val="009C602B"/>
    <w:rsid w:val="009C62CC"/>
    <w:rsid w:val="009C64F6"/>
    <w:rsid w:val="009C6E5F"/>
    <w:rsid w:val="009C745B"/>
    <w:rsid w:val="009C793F"/>
    <w:rsid w:val="009C7BF0"/>
    <w:rsid w:val="009D034E"/>
    <w:rsid w:val="009D0485"/>
    <w:rsid w:val="009D139A"/>
    <w:rsid w:val="009D164B"/>
    <w:rsid w:val="009D171F"/>
    <w:rsid w:val="009D176B"/>
    <w:rsid w:val="009D1B23"/>
    <w:rsid w:val="009D2CD7"/>
    <w:rsid w:val="009D4ABE"/>
    <w:rsid w:val="009D5495"/>
    <w:rsid w:val="009D570D"/>
    <w:rsid w:val="009D5B5C"/>
    <w:rsid w:val="009D5E49"/>
    <w:rsid w:val="009D67BA"/>
    <w:rsid w:val="009D6E49"/>
    <w:rsid w:val="009D7455"/>
    <w:rsid w:val="009D769A"/>
    <w:rsid w:val="009D7C2E"/>
    <w:rsid w:val="009D7F16"/>
    <w:rsid w:val="009E02F5"/>
    <w:rsid w:val="009E064C"/>
    <w:rsid w:val="009E0C27"/>
    <w:rsid w:val="009E0D8B"/>
    <w:rsid w:val="009E11E8"/>
    <w:rsid w:val="009E13AC"/>
    <w:rsid w:val="009E13FE"/>
    <w:rsid w:val="009E276E"/>
    <w:rsid w:val="009E33F3"/>
    <w:rsid w:val="009E3BE9"/>
    <w:rsid w:val="009E3D4E"/>
    <w:rsid w:val="009E40AF"/>
    <w:rsid w:val="009E4292"/>
    <w:rsid w:val="009E4C9A"/>
    <w:rsid w:val="009E5177"/>
    <w:rsid w:val="009E5719"/>
    <w:rsid w:val="009E578C"/>
    <w:rsid w:val="009E70E3"/>
    <w:rsid w:val="009E74F4"/>
    <w:rsid w:val="009E7BA0"/>
    <w:rsid w:val="009F000B"/>
    <w:rsid w:val="009F0A13"/>
    <w:rsid w:val="009F21FF"/>
    <w:rsid w:val="009F28C3"/>
    <w:rsid w:val="009F28DC"/>
    <w:rsid w:val="009F3185"/>
    <w:rsid w:val="009F37E1"/>
    <w:rsid w:val="009F3914"/>
    <w:rsid w:val="009F3A26"/>
    <w:rsid w:val="009F3BDF"/>
    <w:rsid w:val="009F42CC"/>
    <w:rsid w:val="009F443F"/>
    <w:rsid w:val="009F4812"/>
    <w:rsid w:val="009F4863"/>
    <w:rsid w:val="009F490D"/>
    <w:rsid w:val="009F4B9F"/>
    <w:rsid w:val="009F516C"/>
    <w:rsid w:val="009F544F"/>
    <w:rsid w:val="009F58CC"/>
    <w:rsid w:val="009F58CE"/>
    <w:rsid w:val="009F65E2"/>
    <w:rsid w:val="009F7009"/>
    <w:rsid w:val="009F70A9"/>
    <w:rsid w:val="009F7B59"/>
    <w:rsid w:val="00A0009F"/>
    <w:rsid w:val="00A00DC9"/>
    <w:rsid w:val="00A00E9C"/>
    <w:rsid w:val="00A01053"/>
    <w:rsid w:val="00A020E2"/>
    <w:rsid w:val="00A03A87"/>
    <w:rsid w:val="00A044F3"/>
    <w:rsid w:val="00A04C02"/>
    <w:rsid w:val="00A058E2"/>
    <w:rsid w:val="00A05973"/>
    <w:rsid w:val="00A05A0B"/>
    <w:rsid w:val="00A05AC4"/>
    <w:rsid w:val="00A062CA"/>
    <w:rsid w:val="00A06980"/>
    <w:rsid w:val="00A07E26"/>
    <w:rsid w:val="00A10933"/>
    <w:rsid w:val="00A1137A"/>
    <w:rsid w:val="00A11782"/>
    <w:rsid w:val="00A11B16"/>
    <w:rsid w:val="00A12F39"/>
    <w:rsid w:val="00A1338E"/>
    <w:rsid w:val="00A143C7"/>
    <w:rsid w:val="00A14CA7"/>
    <w:rsid w:val="00A14FF8"/>
    <w:rsid w:val="00A155EF"/>
    <w:rsid w:val="00A15AEB"/>
    <w:rsid w:val="00A15D9F"/>
    <w:rsid w:val="00A16164"/>
    <w:rsid w:val="00A162E9"/>
    <w:rsid w:val="00A16743"/>
    <w:rsid w:val="00A16C16"/>
    <w:rsid w:val="00A1710C"/>
    <w:rsid w:val="00A17A67"/>
    <w:rsid w:val="00A20023"/>
    <w:rsid w:val="00A20124"/>
    <w:rsid w:val="00A20578"/>
    <w:rsid w:val="00A21526"/>
    <w:rsid w:val="00A217D7"/>
    <w:rsid w:val="00A21A89"/>
    <w:rsid w:val="00A21CA6"/>
    <w:rsid w:val="00A22443"/>
    <w:rsid w:val="00A22755"/>
    <w:rsid w:val="00A23748"/>
    <w:rsid w:val="00A23D88"/>
    <w:rsid w:val="00A23EE2"/>
    <w:rsid w:val="00A24023"/>
    <w:rsid w:val="00A2423A"/>
    <w:rsid w:val="00A246C5"/>
    <w:rsid w:val="00A24D25"/>
    <w:rsid w:val="00A24EC4"/>
    <w:rsid w:val="00A24F2D"/>
    <w:rsid w:val="00A24F40"/>
    <w:rsid w:val="00A25186"/>
    <w:rsid w:val="00A25296"/>
    <w:rsid w:val="00A256C8"/>
    <w:rsid w:val="00A258F4"/>
    <w:rsid w:val="00A25B96"/>
    <w:rsid w:val="00A26212"/>
    <w:rsid w:val="00A26661"/>
    <w:rsid w:val="00A266F7"/>
    <w:rsid w:val="00A26982"/>
    <w:rsid w:val="00A26EF6"/>
    <w:rsid w:val="00A27335"/>
    <w:rsid w:val="00A27F00"/>
    <w:rsid w:val="00A30009"/>
    <w:rsid w:val="00A30013"/>
    <w:rsid w:val="00A32B7B"/>
    <w:rsid w:val="00A32D99"/>
    <w:rsid w:val="00A32F6B"/>
    <w:rsid w:val="00A33D92"/>
    <w:rsid w:val="00A346C2"/>
    <w:rsid w:val="00A34F85"/>
    <w:rsid w:val="00A3563A"/>
    <w:rsid w:val="00A3697B"/>
    <w:rsid w:val="00A36C30"/>
    <w:rsid w:val="00A37419"/>
    <w:rsid w:val="00A37985"/>
    <w:rsid w:val="00A37DC2"/>
    <w:rsid w:val="00A401FB"/>
    <w:rsid w:val="00A40405"/>
    <w:rsid w:val="00A40DB2"/>
    <w:rsid w:val="00A41014"/>
    <w:rsid w:val="00A41071"/>
    <w:rsid w:val="00A42490"/>
    <w:rsid w:val="00A42F0A"/>
    <w:rsid w:val="00A42FD2"/>
    <w:rsid w:val="00A43CC4"/>
    <w:rsid w:val="00A43D44"/>
    <w:rsid w:val="00A4406D"/>
    <w:rsid w:val="00A447E1"/>
    <w:rsid w:val="00A44908"/>
    <w:rsid w:val="00A44C9C"/>
    <w:rsid w:val="00A44F6E"/>
    <w:rsid w:val="00A45DB5"/>
    <w:rsid w:val="00A46F0B"/>
    <w:rsid w:val="00A46FAA"/>
    <w:rsid w:val="00A477E7"/>
    <w:rsid w:val="00A479DB"/>
    <w:rsid w:val="00A50B80"/>
    <w:rsid w:val="00A50BF6"/>
    <w:rsid w:val="00A50E61"/>
    <w:rsid w:val="00A51947"/>
    <w:rsid w:val="00A519FB"/>
    <w:rsid w:val="00A52540"/>
    <w:rsid w:val="00A525B6"/>
    <w:rsid w:val="00A52F77"/>
    <w:rsid w:val="00A533AF"/>
    <w:rsid w:val="00A53418"/>
    <w:rsid w:val="00A54245"/>
    <w:rsid w:val="00A54494"/>
    <w:rsid w:val="00A54701"/>
    <w:rsid w:val="00A5481C"/>
    <w:rsid w:val="00A54E1F"/>
    <w:rsid w:val="00A552FE"/>
    <w:rsid w:val="00A5604A"/>
    <w:rsid w:val="00A56114"/>
    <w:rsid w:val="00A57650"/>
    <w:rsid w:val="00A607B9"/>
    <w:rsid w:val="00A60806"/>
    <w:rsid w:val="00A6081A"/>
    <w:rsid w:val="00A61360"/>
    <w:rsid w:val="00A617A1"/>
    <w:rsid w:val="00A6370E"/>
    <w:rsid w:val="00A63933"/>
    <w:rsid w:val="00A6402B"/>
    <w:rsid w:val="00A6412B"/>
    <w:rsid w:val="00A64A36"/>
    <w:rsid w:val="00A65009"/>
    <w:rsid w:val="00A663C5"/>
    <w:rsid w:val="00A66D54"/>
    <w:rsid w:val="00A67385"/>
    <w:rsid w:val="00A67D41"/>
    <w:rsid w:val="00A67E6E"/>
    <w:rsid w:val="00A707D0"/>
    <w:rsid w:val="00A711BC"/>
    <w:rsid w:val="00A718B4"/>
    <w:rsid w:val="00A72519"/>
    <w:rsid w:val="00A72706"/>
    <w:rsid w:val="00A72A6A"/>
    <w:rsid w:val="00A72A8F"/>
    <w:rsid w:val="00A72C92"/>
    <w:rsid w:val="00A73281"/>
    <w:rsid w:val="00A733F0"/>
    <w:rsid w:val="00A73B21"/>
    <w:rsid w:val="00A74565"/>
    <w:rsid w:val="00A74DA4"/>
    <w:rsid w:val="00A75602"/>
    <w:rsid w:val="00A759F1"/>
    <w:rsid w:val="00A75A8C"/>
    <w:rsid w:val="00A75DE3"/>
    <w:rsid w:val="00A75EEE"/>
    <w:rsid w:val="00A775F0"/>
    <w:rsid w:val="00A80087"/>
    <w:rsid w:val="00A80914"/>
    <w:rsid w:val="00A80CA8"/>
    <w:rsid w:val="00A81674"/>
    <w:rsid w:val="00A81A50"/>
    <w:rsid w:val="00A81B28"/>
    <w:rsid w:val="00A81E8E"/>
    <w:rsid w:val="00A820CA"/>
    <w:rsid w:val="00A82491"/>
    <w:rsid w:val="00A82646"/>
    <w:rsid w:val="00A82B9E"/>
    <w:rsid w:val="00A831CB"/>
    <w:rsid w:val="00A842DF"/>
    <w:rsid w:val="00A84E2D"/>
    <w:rsid w:val="00A84F34"/>
    <w:rsid w:val="00A852CE"/>
    <w:rsid w:val="00A85340"/>
    <w:rsid w:val="00A8599D"/>
    <w:rsid w:val="00A85A51"/>
    <w:rsid w:val="00A86244"/>
    <w:rsid w:val="00A86397"/>
    <w:rsid w:val="00A8686F"/>
    <w:rsid w:val="00A86B20"/>
    <w:rsid w:val="00A870D0"/>
    <w:rsid w:val="00A874D9"/>
    <w:rsid w:val="00A879A6"/>
    <w:rsid w:val="00A87FAA"/>
    <w:rsid w:val="00A9065D"/>
    <w:rsid w:val="00A90E47"/>
    <w:rsid w:val="00A90E58"/>
    <w:rsid w:val="00A90EB0"/>
    <w:rsid w:val="00A91320"/>
    <w:rsid w:val="00A91631"/>
    <w:rsid w:val="00A921BB"/>
    <w:rsid w:val="00A93B68"/>
    <w:rsid w:val="00A93CCA"/>
    <w:rsid w:val="00A9440E"/>
    <w:rsid w:val="00A945E5"/>
    <w:rsid w:val="00A959D5"/>
    <w:rsid w:val="00A96689"/>
    <w:rsid w:val="00A9673E"/>
    <w:rsid w:val="00A96E39"/>
    <w:rsid w:val="00A96E6A"/>
    <w:rsid w:val="00AA0157"/>
    <w:rsid w:val="00AA0229"/>
    <w:rsid w:val="00AA03C7"/>
    <w:rsid w:val="00AA086B"/>
    <w:rsid w:val="00AA0C2E"/>
    <w:rsid w:val="00AA0E49"/>
    <w:rsid w:val="00AA100E"/>
    <w:rsid w:val="00AA11CC"/>
    <w:rsid w:val="00AA1C1F"/>
    <w:rsid w:val="00AA1FB8"/>
    <w:rsid w:val="00AA202D"/>
    <w:rsid w:val="00AA32B8"/>
    <w:rsid w:val="00AA3D14"/>
    <w:rsid w:val="00AA56EE"/>
    <w:rsid w:val="00AA5C09"/>
    <w:rsid w:val="00AA60CE"/>
    <w:rsid w:val="00AA7012"/>
    <w:rsid w:val="00AA7320"/>
    <w:rsid w:val="00AA7798"/>
    <w:rsid w:val="00AB01D3"/>
    <w:rsid w:val="00AB1204"/>
    <w:rsid w:val="00AB13A0"/>
    <w:rsid w:val="00AB1865"/>
    <w:rsid w:val="00AB1EBE"/>
    <w:rsid w:val="00AB1ED5"/>
    <w:rsid w:val="00AB1FEF"/>
    <w:rsid w:val="00AB20DE"/>
    <w:rsid w:val="00AB346D"/>
    <w:rsid w:val="00AB3D2E"/>
    <w:rsid w:val="00AB44BD"/>
    <w:rsid w:val="00AB4B81"/>
    <w:rsid w:val="00AB507B"/>
    <w:rsid w:val="00AB52B2"/>
    <w:rsid w:val="00AB592F"/>
    <w:rsid w:val="00AB5E67"/>
    <w:rsid w:val="00AB5FE9"/>
    <w:rsid w:val="00AB615F"/>
    <w:rsid w:val="00AB633D"/>
    <w:rsid w:val="00AB6409"/>
    <w:rsid w:val="00AB643E"/>
    <w:rsid w:val="00AB69AA"/>
    <w:rsid w:val="00AB738D"/>
    <w:rsid w:val="00AB7BA2"/>
    <w:rsid w:val="00AB7E78"/>
    <w:rsid w:val="00AC0121"/>
    <w:rsid w:val="00AC01BC"/>
    <w:rsid w:val="00AC1506"/>
    <w:rsid w:val="00AC1600"/>
    <w:rsid w:val="00AC21E4"/>
    <w:rsid w:val="00AC2639"/>
    <w:rsid w:val="00AC264F"/>
    <w:rsid w:val="00AC2EA5"/>
    <w:rsid w:val="00AC3849"/>
    <w:rsid w:val="00AC39A5"/>
    <w:rsid w:val="00AC3C92"/>
    <w:rsid w:val="00AC3D3F"/>
    <w:rsid w:val="00AC45C7"/>
    <w:rsid w:val="00AC4841"/>
    <w:rsid w:val="00AC4B9A"/>
    <w:rsid w:val="00AC5874"/>
    <w:rsid w:val="00AC644D"/>
    <w:rsid w:val="00AC6899"/>
    <w:rsid w:val="00AC6B37"/>
    <w:rsid w:val="00AC6DE0"/>
    <w:rsid w:val="00AC6E57"/>
    <w:rsid w:val="00AC770F"/>
    <w:rsid w:val="00AC7FAB"/>
    <w:rsid w:val="00AD0082"/>
    <w:rsid w:val="00AD067F"/>
    <w:rsid w:val="00AD0744"/>
    <w:rsid w:val="00AD0810"/>
    <w:rsid w:val="00AD0C8D"/>
    <w:rsid w:val="00AD0F27"/>
    <w:rsid w:val="00AD0F35"/>
    <w:rsid w:val="00AD33D4"/>
    <w:rsid w:val="00AD37E5"/>
    <w:rsid w:val="00AD458F"/>
    <w:rsid w:val="00AD4719"/>
    <w:rsid w:val="00AD4A33"/>
    <w:rsid w:val="00AD4CB1"/>
    <w:rsid w:val="00AD4D6D"/>
    <w:rsid w:val="00AD543B"/>
    <w:rsid w:val="00AD56C2"/>
    <w:rsid w:val="00AD5782"/>
    <w:rsid w:val="00AD5BDA"/>
    <w:rsid w:val="00AD6572"/>
    <w:rsid w:val="00AD695C"/>
    <w:rsid w:val="00AD6E9A"/>
    <w:rsid w:val="00AD7B47"/>
    <w:rsid w:val="00AE00A2"/>
    <w:rsid w:val="00AE01B4"/>
    <w:rsid w:val="00AE2F2F"/>
    <w:rsid w:val="00AE315C"/>
    <w:rsid w:val="00AE37AD"/>
    <w:rsid w:val="00AE3BB3"/>
    <w:rsid w:val="00AE440E"/>
    <w:rsid w:val="00AE49D5"/>
    <w:rsid w:val="00AE62F4"/>
    <w:rsid w:val="00AE6569"/>
    <w:rsid w:val="00AE65C5"/>
    <w:rsid w:val="00AE6F9D"/>
    <w:rsid w:val="00AE6FB2"/>
    <w:rsid w:val="00AF1052"/>
    <w:rsid w:val="00AF19F3"/>
    <w:rsid w:val="00AF1F85"/>
    <w:rsid w:val="00AF2546"/>
    <w:rsid w:val="00AF2B4E"/>
    <w:rsid w:val="00AF35F4"/>
    <w:rsid w:val="00AF4618"/>
    <w:rsid w:val="00AF4AE7"/>
    <w:rsid w:val="00AF4F3E"/>
    <w:rsid w:val="00AF52B1"/>
    <w:rsid w:val="00AF65D0"/>
    <w:rsid w:val="00AF6693"/>
    <w:rsid w:val="00AF70E9"/>
    <w:rsid w:val="00AF72E5"/>
    <w:rsid w:val="00AF73A2"/>
    <w:rsid w:val="00AF75E5"/>
    <w:rsid w:val="00AF7CC4"/>
    <w:rsid w:val="00B007DB"/>
    <w:rsid w:val="00B00F63"/>
    <w:rsid w:val="00B01C6B"/>
    <w:rsid w:val="00B022AF"/>
    <w:rsid w:val="00B033D0"/>
    <w:rsid w:val="00B03AE5"/>
    <w:rsid w:val="00B045A9"/>
    <w:rsid w:val="00B045D6"/>
    <w:rsid w:val="00B054C6"/>
    <w:rsid w:val="00B0551C"/>
    <w:rsid w:val="00B05EEE"/>
    <w:rsid w:val="00B05F30"/>
    <w:rsid w:val="00B06394"/>
    <w:rsid w:val="00B0755C"/>
    <w:rsid w:val="00B076C5"/>
    <w:rsid w:val="00B07EAE"/>
    <w:rsid w:val="00B1064F"/>
    <w:rsid w:val="00B1077D"/>
    <w:rsid w:val="00B10811"/>
    <w:rsid w:val="00B11423"/>
    <w:rsid w:val="00B11841"/>
    <w:rsid w:val="00B12D75"/>
    <w:rsid w:val="00B13E18"/>
    <w:rsid w:val="00B14537"/>
    <w:rsid w:val="00B1487F"/>
    <w:rsid w:val="00B1620D"/>
    <w:rsid w:val="00B17327"/>
    <w:rsid w:val="00B201D3"/>
    <w:rsid w:val="00B2049A"/>
    <w:rsid w:val="00B204A5"/>
    <w:rsid w:val="00B20722"/>
    <w:rsid w:val="00B2083B"/>
    <w:rsid w:val="00B20F9F"/>
    <w:rsid w:val="00B21A3A"/>
    <w:rsid w:val="00B21B4C"/>
    <w:rsid w:val="00B21CD4"/>
    <w:rsid w:val="00B21F41"/>
    <w:rsid w:val="00B2217D"/>
    <w:rsid w:val="00B2225A"/>
    <w:rsid w:val="00B23003"/>
    <w:rsid w:val="00B23535"/>
    <w:rsid w:val="00B2395D"/>
    <w:rsid w:val="00B23FF2"/>
    <w:rsid w:val="00B24748"/>
    <w:rsid w:val="00B252E6"/>
    <w:rsid w:val="00B26057"/>
    <w:rsid w:val="00B2616C"/>
    <w:rsid w:val="00B26763"/>
    <w:rsid w:val="00B2756A"/>
    <w:rsid w:val="00B275C8"/>
    <w:rsid w:val="00B27640"/>
    <w:rsid w:val="00B27BC7"/>
    <w:rsid w:val="00B304F3"/>
    <w:rsid w:val="00B3093D"/>
    <w:rsid w:val="00B30A97"/>
    <w:rsid w:val="00B30BE1"/>
    <w:rsid w:val="00B30FA2"/>
    <w:rsid w:val="00B311F7"/>
    <w:rsid w:val="00B31327"/>
    <w:rsid w:val="00B32292"/>
    <w:rsid w:val="00B329E6"/>
    <w:rsid w:val="00B335A3"/>
    <w:rsid w:val="00B33B21"/>
    <w:rsid w:val="00B34982"/>
    <w:rsid w:val="00B354A7"/>
    <w:rsid w:val="00B354FB"/>
    <w:rsid w:val="00B3605C"/>
    <w:rsid w:val="00B3710D"/>
    <w:rsid w:val="00B37FD3"/>
    <w:rsid w:val="00B40FD8"/>
    <w:rsid w:val="00B4230B"/>
    <w:rsid w:val="00B42371"/>
    <w:rsid w:val="00B4274D"/>
    <w:rsid w:val="00B435E7"/>
    <w:rsid w:val="00B4394B"/>
    <w:rsid w:val="00B43CB7"/>
    <w:rsid w:val="00B445A4"/>
    <w:rsid w:val="00B459F6"/>
    <w:rsid w:val="00B45A0C"/>
    <w:rsid w:val="00B45DB9"/>
    <w:rsid w:val="00B46A75"/>
    <w:rsid w:val="00B47047"/>
    <w:rsid w:val="00B47360"/>
    <w:rsid w:val="00B4749A"/>
    <w:rsid w:val="00B474DB"/>
    <w:rsid w:val="00B475B6"/>
    <w:rsid w:val="00B47610"/>
    <w:rsid w:val="00B47FC4"/>
    <w:rsid w:val="00B501FD"/>
    <w:rsid w:val="00B5047C"/>
    <w:rsid w:val="00B50681"/>
    <w:rsid w:val="00B50AF5"/>
    <w:rsid w:val="00B50D09"/>
    <w:rsid w:val="00B50E45"/>
    <w:rsid w:val="00B50FE6"/>
    <w:rsid w:val="00B51371"/>
    <w:rsid w:val="00B5147F"/>
    <w:rsid w:val="00B51DF4"/>
    <w:rsid w:val="00B539B4"/>
    <w:rsid w:val="00B542CF"/>
    <w:rsid w:val="00B54633"/>
    <w:rsid w:val="00B548D0"/>
    <w:rsid w:val="00B5492C"/>
    <w:rsid w:val="00B554CE"/>
    <w:rsid w:val="00B569C3"/>
    <w:rsid w:val="00B569E9"/>
    <w:rsid w:val="00B571C1"/>
    <w:rsid w:val="00B572FE"/>
    <w:rsid w:val="00B57421"/>
    <w:rsid w:val="00B57C32"/>
    <w:rsid w:val="00B605B9"/>
    <w:rsid w:val="00B60F4A"/>
    <w:rsid w:val="00B61259"/>
    <w:rsid w:val="00B61400"/>
    <w:rsid w:val="00B616D7"/>
    <w:rsid w:val="00B6190D"/>
    <w:rsid w:val="00B61BC9"/>
    <w:rsid w:val="00B62A28"/>
    <w:rsid w:val="00B62B31"/>
    <w:rsid w:val="00B62C29"/>
    <w:rsid w:val="00B62C35"/>
    <w:rsid w:val="00B639B6"/>
    <w:rsid w:val="00B63ED8"/>
    <w:rsid w:val="00B645A9"/>
    <w:rsid w:val="00B64C68"/>
    <w:rsid w:val="00B6508B"/>
    <w:rsid w:val="00B650EF"/>
    <w:rsid w:val="00B6552C"/>
    <w:rsid w:val="00B65661"/>
    <w:rsid w:val="00B6589C"/>
    <w:rsid w:val="00B65AEC"/>
    <w:rsid w:val="00B65D72"/>
    <w:rsid w:val="00B65F5E"/>
    <w:rsid w:val="00B66490"/>
    <w:rsid w:val="00B66BA5"/>
    <w:rsid w:val="00B70774"/>
    <w:rsid w:val="00B70A98"/>
    <w:rsid w:val="00B71D75"/>
    <w:rsid w:val="00B7235D"/>
    <w:rsid w:val="00B73063"/>
    <w:rsid w:val="00B7315B"/>
    <w:rsid w:val="00B73FF2"/>
    <w:rsid w:val="00B7404E"/>
    <w:rsid w:val="00B7503C"/>
    <w:rsid w:val="00B75448"/>
    <w:rsid w:val="00B754A9"/>
    <w:rsid w:val="00B75DDB"/>
    <w:rsid w:val="00B761F0"/>
    <w:rsid w:val="00B76273"/>
    <w:rsid w:val="00B77098"/>
    <w:rsid w:val="00B77939"/>
    <w:rsid w:val="00B77BF9"/>
    <w:rsid w:val="00B77F00"/>
    <w:rsid w:val="00B801A1"/>
    <w:rsid w:val="00B801E8"/>
    <w:rsid w:val="00B808CA"/>
    <w:rsid w:val="00B80B05"/>
    <w:rsid w:val="00B80C6F"/>
    <w:rsid w:val="00B80D0E"/>
    <w:rsid w:val="00B80F06"/>
    <w:rsid w:val="00B813BB"/>
    <w:rsid w:val="00B818EB"/>
    <w:rsid w:val="00B81CCA"/>
    <w:rsid w:val="00B81EC5"/>
    <w:rsid w:val="00B82678"/>
    <w:rsid w:val="00B8289F"/>
    <w:rsid w:val="00B836A3"/>
    <w:rsid w:val="00B837DC"/>
    <w:rsid w:val="00B843EB"/>
    <w:rsid w:val="00B844C0"/>
    <w:rsid w:val="00B84B3B"/>
    <w:rsid w:val="00B84B90"/>
    <w:rsid w:val="00B85DD9"/>
    <w:rsid w:val="00B86435"/>
    <w:rsid w:val="00B86715"/>
    <w:rsid w:val="00B90098"/>
    <w:rsid w:val="00B90F3E"/>
    <w:rsid w:val="00B927A9"/>
    <w:rsid w:val="00B92DBE"/>
    <w:rsid w:val="00B930FA"/>
    <w:rsid w:val="00B93890"/>
    <w:rsid w:val="00B93B3C"/>
    <w:rsid w:val="00B9414A"/>
    <w:rsid w:val="00B942CD"/>
    <w:rsid w:val="00B94651"/>
    <w:rsid w:val="00B94A7D"/>
    <w:rsid w:val="00B95A4A"/>
    <w:rsid w:val="00B95D11"/>
    <w:rsid w:val="00B96978"/>
    <w:rsid w:val="00B97FF7"/>
    <w:rsid w:val="00BA06FB"/>
    <w:rsid w:val="00BA08B3"/>
    <w:rsid w:val="00BA0932"/>
    <w:rsid w:val="00BA095F"/>
    <w:rsid w:val="00BA0E58"/>
    <w:rsid w:val="00BA0F9B"/>
    <w:rsid w:val="00BA11AD"/>
    <w:rsid w:val="00BA132E"/>
    <w:rsid w:val="00BA17F5"/>
    <w:rsid w:val="00BA1BA6"/>
    <w:rsid w:val="00BA26D9"/>
    <w:rsid w:val="00BA39CA"/>
    <w:rsid w:val="00BA3A5B"/>
    <w:rsid w:val="00BA3B1A"/>
    <w:rsid w:val="00BA3C08"/>
    <w:rsid w:val="00BA4D58"/>
    <w:rsid w:val="00BA51FA"/>
    <w:rsid w:val="00BA54F8"/>
    <w:rsid w:val="00BA57FB"/>
    <w:rsid w:val="00BA5CA8"/>
    <w:rsid w:val="00BA6BAC"/>
    <w:rsid w:val="00BA6DC7"/>
    <w:rsid w:val="00BA73CD"/>
    <w:rsid w:val="00BA74FA"/>
    <w:rsid w:val="00BA7A2D"/>
    <w:rsid w:val="00BA7E36"/>
    <w:rsid w:val="00BB0B76"/>
    <w:rsid w:val="00BB0EF5"/>
    <w:rsid w:val="00BB1915"/>
    <w:rsid w:val="00BB19AB"/>
    <w:rsid w:val="00BB2073"/>
    <w:rsid w:val="00BB2909"/>
    <w:rsid w:val="00BB2A16"/>
    <w:rsid w:val="00BB2D18"/>
    <w:rsid w:val="00BB2D75"/>
    <w:rsid w:val="00BB2F58"/>
    <w:rsid w:val="00BB33B7"/>
    <w:rsid w:val="00BB354E"/>
    <w:rsid w:val="00BB517A"/>
    <w:rsid w:val="00BB55F5"/>
    <w:rsid w:val="00BB5924"/>
    <w:rsid w:val="00BB5978"/>
    <w:rsid w:val="00BB5A84"/>
    <w:rsid w:val="00BB62E1"/>
    <w:rsid w:val="00BB6549"/>
    <w:rsid w:val="00BB6C4F"/>
    <w:rsid w:val="00BB6D58"/>
    <w:rsid w:val="00BC01B9"/>
    <w:rsid w:val="00BC0DCB"/>
    <w:rsid w:val="00BC11A1"/>
    <w:rsid w:val="00BC24B8"/>
    <w:rsid w:val="00BC279C"/>
    <w:rsid w:val="00BC2831"/>
    <w:rsid w:val="00BC30DF"/>
    <w:rsid w:val="00BC34C0"/>
    <w:rsid w:val="00BC3625"/>
    <w:rsid w:val="00BC3BF7"/>
    <w:rsid w:val="00BC4210"/>
    <w:rsid w:val="00BC44D5"/>
    <w:rsid w:val="00BC46C6"/>
    <w:rsid w:val="00BC4811"/>
    <w:rsid w:val="00BC48EA"/>
    <w:rsid w:val="00BC492F"/>
    <w:rsid w:val="00BC4A2E"/>
    <w:rsid w:val="00BC50A6"/>
    <w:rsid w:val="00BC50CA"/>
    <w:rsid w:val="00BC5A3C"/>
    <w:rsid w:val="00BC5C19"/>
    <w:rsid w:val="00BC5E5F"/>
    <w:rsid w:val="00BC655D"/>
    <w:rsid w:val="00BC697A"/>
    <w:rsid w:val="00BC6990"/>
    <w:rsid w:val="00BC69D8"/>
    <w:rsid w:val="00BC6F93"/>
    <w:rsid w:val="00BC7356"/>
    <w:rsid w:val="00BC79CB"/>
    <w:rsid w:val="00BD029F"/>
    <w:rsid w:val="00BD0BF7"/>
    <w:rsid w:val="00BD0C96"/>
    <w:rsid w:val="00BD0FE2"/>
    <w:rsid w:val="00BD1C5B"/>
    <w:rsid w:val="00BD232B"/>
    <w:rsid w:val="00BD2FF4"/>
    <w:rsid w:val="00BD3B25"/>
    <w:rsid w:val="00BD3FCD"/>
    <w:rsid w:val="00BD40BC"/>
    <w:rsid w:val="00BD41C1"/>
    <w:rsid w:val="00BD4A9C"/>
    <w:rsid w:val="00BD4CB4"/>
    <w:rsid w:val="00BD4D7B"/>
    <w:rsid w:val="00BD54E7"/>
    <w:rsid w:val="00BD56B6"/>
    <w:rsid w:val="00BD5855"/>
    <w:rsid w:val="00BD5968"/>
    <w:rsid w:val="00BD6408"/>
    <w:rsid w:val="00BD6585"/>
    <w:rsid w:val="00BD7007"/>
    <w:rsid w:val="00BD71DC"/>
    <w:rsid w:val="00BD770E"/>
    <w:rsid w:val="00BD7AB2"/>
    <w:rsid w:val="00BD7B07"/>
    <w:rsid w:val="00BE0E6E"/>
    <w:rsid w:val="00BE1183"/>
    <w:rsid w:val="00BE13F9"/>
    <w:rsid w:val="00BE1836"/>
    <w:rsid w:val="00BE18ED"/>
    <w:rsid w:val="00BE1C37"/>
    <w:rsid w:val="00BE1D53"/>
    <w:rsid w:val="00BE1DD1"/>
    <w:rsid w:val="00BE1DD4"/>
    <w:rsid w:val="00BE1F62"/>
    <w:rsid w:val="00BE2746"/>
    <w:rsid w:val="00BE2FB4"/>
    <w:rsid w:val="00BE31ED"/>
    <w:rsid w:val="00BE35B2"/>
    <w:rsid w:val="00BE3913"/>
    <w:rsid w:val="00BE546F"/>
    <w:rsid w:val="00BE56C3"/>
    <w:rsid w:val="00BE5FA5"/>
    <w:rsid w:val="00BE628A"/>
    <w:rsid w:val="00BE6C14"/>
    <w:rsid w:val="00BE6DB8"/>
    <w:rsid w:val="00BE6FA8"/>
    <w:rsid w:val="00BE749B"/>
    <w:rsid w:val="00BE7C94"/>
    <w:rsid w:val="00BF005B"/>
    <w:rsid w:val="00BF1308"/>
    <w:rsid w:val="00BF1A44"/>
    <w:rsid w:val="00BF1F37"/>
    <w:rsid w:val="00BF230D"/>
    <w:rsid w:val="00BF25BD"/>
    <w:rsid w:val="00BF268E"/>
    <w:rsid w:val="00BF28C6"/>
    <w:rsid w:val="00BF3722"/>
    <w:rsid w:val="00BF3987"/>
    <w:rsid w:val="00BF535C"/>
    <w:rsid w:val="00BF5954"/>
    <w:rsid w:val="00BF62B1"/>
    <w:rsid w:val="00BF6637"/>
    <w:rsid w:val="00BF6A62"/>
    <w:rsid w:val="00BF7A61"/>
    <w:rsid w:val="00C0018F"/>
    <w:rsid w:val="00C00830"/>
    <w:rsid w:val="00C01155"/>
    <w:rsid w:val="00C03328"/>
    <w:rsid w:val="00C03386"/>
    <w:rsid w:val="00C038C4"/>
    <w:rsid w:val="00C03C42"/>
    <w:rsid w:val="00C03F60"/>
    <w:rsid w:val="00C042F1"/>
    <w:rsid w:val="00C0486A"/>
    <w:rsid w:val="00C049C8"/>
    <w:rsid w:val="00C0561E"/>
    <w:rsid w:val="00C057CC"/>
    <w:rsid w:val="00C060A4"/>
    <w:rsid w:val="00C06546"/>
    <w:rsid w:val="00C06F54"/>
    <w:rsid w:val="00C105CA"/>
    <w:rsid w:val="00C106F4"/>
    <w:rsid w:val="00C110C3"/>
    <w:rsid w:val="00C114C0"/>
    <w:rsid w:val="00C11500"/>
    <w:rsid w:val="00C11713"/>
    <w:rsid w:val="00C11E8C"/>
    <w:rsid w:val="00C11FC3"/>
    <w:rsid w:val="00C1283B"/>
    <w:rsid w:val="00C12990"/>
    <w:rsid w:val="00C135BD"/>
    <w:rsid w:val="00C13640"/>
    <w:rsid w:val="00C1369C"/>
    <w:rsid w:val="00C139AC"/>
    <w:rsid w:val="00C13BB9"/>
    <w:rsid w:val="00C13CEF"/>
    <w:rsid w:val="00C1422B"/>
    <w:rsid w:val="00C153E0"/>
    <w:rsid w:val="00C15493"/>
    <w:rsid w:val="00C15E54"/>
    <w:rsid w:val="00C1692E"/>
    <w:rsid w:val="00C16A23"/>
    <w:rsid w:val="00C17472"/>
    <w:rsid w:val="00C2015A"/>
    <w:rsid w:val="00C204E2"/>
    <w:rsid w:val="00C21B62"/>
    <w:rsid w:val="00C21EC0"/>
    <w:rsid w:val="00C22139"/>
    <w:rsid w:val="00C2257B"/>
    <w:rsid w:val="00C2332E"/>
    <w:rsid w:val="00C24314"/>
    <w:rsid w:val="00C244C3"/>
    <w:rsid w:val="00C2459E"/>
    <w:rsid w:val="00C245D8"/>
    <w:rsid w:val="00C24627"/>
    <w:rsid w:val="00C248CC"/>
    <w:rsid w:val="00C24D5F"/>
    <w:rsid w:val="00C24F14"/>
    <w:rsid w:val="00C25026"/>
    <w:rsid w:val="00C25385"/>
    <w:rsid w:val="00C25954"/>
    <w:rsid w:val="00C25D82"/>
    <w:rsid w:val="00C26360"/>
    <w:rsid w:val="00C27BD1"/>
    <w:rsid w:val="00C27CB0"/>
    <w:rsid w:val="00C27ECD"/>
    <w:rsid w:val="00C27F12"/>
    <w:rsid w:val="00C301C8"/>
    <w:rsid w:val="00C30556"/>
    <w:rsid w:val="00C30647"/>
    <w:rsid w:val="00C30BBA"/>
    <w:rsid w:val="00C30E11"/>
    <w:rsid w:val="00C310A6"/>
    <w:rsid w:val="00C31442"/>
    <w:rsid w:val="00C319BB"/>
    <w:rsid w:val="00C31BA7"/>
    <w:rsid w:val="00C31BD9"/>
    <w:rsid w:val="00C32014"/>
    <w:rsid w:val="00C322B4"/>
    <w:rsid w:val="00C3297C"/>
    <w:rsid w:val="00C33020"/>
    <w:rsid w:val="00C334FB"/>
    <w:rsid w:val="00C339D9"/>
    <w:rsid w:val="00C34A03"/>
    <w:rsid w:val="00C357F9"/>
    <w:rsid w:val="00C35F85"/>
    <w:rsid w:val="00C36327"/>
    <w:rsid w:val="00C36640"/>
    <w:rsid w:val="00C366F5"/>
    <w:rsid w:val="00C36A4A"/>
    <w:rsid w:val="00C36C45"/>
    <w:rsid w:val="00C37358"/>
    <w:rsid w:val="00C376A5"/>
    <w:rsid w:val="00C37A23"/>
    <w:rsid w:val="00C37BF2"/>
    <w:rsid w:val="00C37E2E"/>
    <w:rsid w:val="00C400B2"/>
    <w:rsid w:val="00C4050F"/>
    <w:rsid w:val="00C4059B"/>
    <w:rsid w:val="00C408ED"/>
    <w:rsid w:val="00C41339"/>
    <w:rsid w:val="00C4186C"/>
    <w:rsid w:val="00C42A1B"/>
    <w:rsid w:val="00C42B23"/>
    <w:rsid w:val="00C431E5"/>
    <w:rsid w:val="00C4407E"/>
    <w:rsid w:val="00C44114"/>
    <w:rsid w:val="00C441DC"/>
    <w:rsid w:val="00C4498E"/>
    <w:rsid w:val="00C44DDC"/>
    <w:rsid w:val="00C453FC"/>
    <w:rsid w:val="00C45C0A"/>
    <w:rsid w:val="00C4630D"/>
    <w:rsid w:val="00C46C58"/>
    <w:rsid w:val="00C47113"/>
    <w:rsid w:val="00C47785"/>
    <w:rsid w:val="00C478A4"/>
    <w:rsid w:val="00C47FC2"/>
    <w:rsid w:val="00C50252"/>
    <w:rsid w:val="00C50414"/>
    <w:rsid w:val="00C50577"/>
    <w:rsid w:val="00C50891"/>
    <w:rsid w:val="00C50B5D"/>
    <w:rsid w:val="00C50FC9"/>
    <w:rsid w:val="00C5111D"/>
    <w:rsid w:val="00C51954"/>
    <w:rsid w:val="00C51BF5"/>
    <w:rsid w:val="00C5476F"/>
    <w:rsid w:val="00C549F7"/>
    <w:rsid w:val="00C55BCE"/>
    <w:rsid w:val="00C55E68"/>
    <w:rsid w:val="00C56008"/>
    <w:rsid w:val="00C56688"/>
    <w:rsid w:val="00C5671C"/>
    <w:rsid w:val="00C569ED"/>
    <w:rsid w:val="00C56D79"/>
    <w:rsid w:val="00C56F80"/>
    <w:rsid w:val="00C57249"/>
    <w:rsid w:val="00C572F5"/>
    <w:rsid w:val="00C5753A"/>
    <w:rsid w:val="00C57558"/>
    <w:rsid w:val="00C57A55"/>
    <w:rsid w:val="00C57E0F"/>
    <w:rsid w:val="00C57FF5"/>
    <w:rsid w:val="00C6053D"/>
    <w:rsid w:val="00C60B17"/>
    <w:rsid w:val="00C60CB3"/>
    <w:rsid w:val="00C61388"/>
    <w:rsid w:val="00C6162E"/>
    <w:rsid w:val="00C616B2"/>
    <w:rsid w:val="00C61758"/>
    <w:rsid w:val="00C63B38"/>
    <w:rsid w:val="00C63C08"/>
    <w:rsid w:val="00C63CC6"/>
    <w:rsid w:val="00C64C61"/>
    <w:rsid w:val="00C65C26"/>
    <w:rsid w:val="00C65DA8"/>
    <w:rsid w:val="00C66104"/>
    <w:rsid w:val="00C668D4"/>
    <w:rsid w:val="00C669DC"/>
    <w:rsid w:val="00C66D9D"/>
    <w:rsid w:val="00C67281"/>
    <w:rsid w:val="00C67391"/>
    <w:rsid w:val="00C6759C"/>
    <w:rsid w:val="00C7066B"/>
    <w:rsid w:val="00C70C52"/>
    <w:rsid w:val="00C717C0"/>
    <w:rsid w:val="00C7188C"/>
    <w:rsid w:val="00C71B29"/>
    <w:rsid w:val="00C71B80"/>
    <w:rsid w:val="00C71D5C"/>
    <w:rsid w:val="00C7215B"/>
    <w:rsid w:val="00C73505"/>
    <w:rsid w:val="00C73A93"/>
    <w:rsid w:val="00C73B3B"/>
    <w:rsid w:val="00C73C43"/>
    <w:rsid w:val="00C73EBB"/>
    <w:rsid w:val="00C746D0"/>
    <w:rsid w:val="00C7496B"/>
    <w:rsid w:val="00C74D2F"/>
    <w:rsid w:val="00C76328"/>
    <w:rsid w:val="00C76397"/>
    <w:rsid w:val="00C77303"/>
    <w:rsid w:val="00C77712"/>
    <w:rsid w:val="00C80097"/>
    <w:rsid w:val="00C80251"/>
    <w:rsid w:val="00C80680"/>
    <w:rsid w:val="00C80B2A"/>
    <w:rsid w:val="00C82426"/>
    <w:rsid w:val="00C824A8"/>
    <w:rsid w:val="00C82A61"/>
    <w:rsid w:val="00C82F86"/>
    <w:rsid w:val="00C83A80"/>
    <w:rsid w:val="00C84436"/>
    <w:rsid w:val="00C84439"/>
    <w:rsid w:val="00C84639"/>
    <w:rsid w:val="00C85346"/>
    <w:rsid w:val="00C85ADF"/>
    <w:rsid w:val="00C85E26"/>
    <w:rsid w:val="00C861B8"/>
    <w:rsid w:val="00C8747A"/>
    <w:rsid w:val="00C902F6"/>
    <w:rsid w:val="00C9079E"/>
    <w:rsid w:val="00C90982"/>
    <w:rsid w:val="00C90CCF"/>
    <w:rsid w:val="00C9130F"/>
    <w:rsid w:val="00C919AF"/>
    <w:rsid w:val="00C91C22"/>
    <w:rsid w:val="00C91EBF"/>
    <w:rsid w:val="00C91F6C"/>
    <w:rsid w:val="00C923AF"/>
    <w:rsid w:val="00C925F3"/>
    <w:rsid w:val="00C92885"/>
    <w:rsid w:val="00C9324D"/>
    <w:rsid w:val="00C935DF"/>
    <w:rsid w:val="00C9397E"/>
    <w:rsid w:val="00C93E6D"/>
    <w:rsid w:val="00C93F0E"/>
    <w:rsid w:val="00C94117"/>
    <w:rsid w:val="00C9421F"/>
    <w:rsid w:val="00C94400"/>
    <w:rsid w:val="00C94682"/>
    <w:rsid w:val="00C94D56"/>
    <w:rsid w:val="00C95F83"/>
    <w:rsid w:val="00C97239"/>
    <w:rsid w:val="00C97283"/>
    <w:rsid w:val="00CA0061"/>
    <w:rsid w:val="00CA02D0"/>
    <w:rsid w:val="00CA0310"/>
    <w:rsid w:val="00CA0CF4"/>
    <w:rsid w:val="00CA10A8"/>
    <w:rsid w:val="00CA1331"/>
    <w:rsid w:val="00CA1ABE"/>
    <w:rsid w:val="00CA2282"/>
    <w:rsid w:val="00CA2FE5"/>
    <w:rsid w:val="00CA31D5"/>
    <w:rsid w:val="00CA37ED"/>
    <w:rsid w:val="00CA4B2C"/>
    <w:rsid w:val="00CA4EE5"/>
    <w:rsid w:val="00CA4F65"/>
    <w:rsid w:val="00CA5075"/>
    <w:rsid w:val="00CA5924"/>
    <w:rsid w:val="00CA5D22"/>
    <w:rsid w:val="00CA5E8D"/>
    <w:rsid w:val="00CA7694"/>
    <w:rsid w:val="00CA7EF3"/>
    <w:rsid w:val="00CB0552"/>
    <w:rsid w:val="00CB12F9"/>
    <w:rsid w:val="00CB3F59"/>
    <w:rsid w:val="00CB48D0"/>
    <w:rsid w:val="00CB498E"/>
    <w:rsid w:val="00CB51B2"/>
    <w:rsid w:val="00CB538D"/>
    <w:rsid w:val="00CB539F"/>
    <w:rsid w:val="00CB5EB8"/>
    <w:rsid w:val="00CB6E57"/>
    <w:rsid w:val="00CB79A9"/>
    <w:rsid w:val="00CB7C93"/>
    <w:rsid w:val="00CB7CCA"/>
    <w:rsid w:val="00CC244C"/>
    <w:rsid w:val="00CC2526"/>
    <w:rsid w:val="00CC26A7"/>
    <w:rsid w:val="00CC2BDD"/>
    <w:rsid w:val="00CC32AC"/>
    <w:rsid w:val="00CC3631"/>
    <w:rsid w:val="00CC3BF0"/>
    <w:rsid w:val="00CC3CD1"/>
    <w:rsid w:val="00CC462B"/>
    <w:rsid w:val="00CC4869"/>
    <w:rsid w:val="00CC4A96"/>
    <w:rsid w:val="00CC59B6"/>
    <w:rsid w:val="00CC59F4"/>
    <w:rsid w:val="00CC611B"/>
    <w:rsid w:val="00CC6602"/>
    <w:rsid w:val="00CC6EE7"/>
    <w:rsid w:val="00CC75F6"/>
    <w:rsid w:val="00CC76AE"/>
    <w:rsid w:val="00CD14D8"/>
    <w:rsid w:val="00CD19C6"/>
    <w:rsid w:val="00CD22B8"/>
    <w:rsid w:val="00CD28BA"/>
    <w:rsid w:val="00CD34D6"/>
    <w:rsid w:val="00CD37A6"/>
    <w:rsid w:val="00CD397C"/>
    <w:rsid w:val="00CD4146"/>
    <w:rsid w:val="00CD4425"/>
    <w:rsid w:val="00CD5B00"/>
    <w:rsid w:val="00CD5F9E"/>
    <w:rsid w:val="00CD68C8"/>
    <w:rsid w:val="00CD68FE"/>
    <w:rsid w:val="00CD6EE8"/>
    <w:rsid w:val="00CD768D"/>
    <w:rsid w:val="00CD79B7"/>
    <w:rsid w:val="00CE0723"/>
    <w:rsid w:val="00CE0953"/>
    <w:rsid w:val="00CE0969"/>
    <w:rsid w:val="00CE14EA"/>
    <w:rsid w:val="00CE1F86"/>
    <w:rsid w:val="00CE21E4"/>
    <w:rsid w:val="00CE2839"/>
    <w:rsid w:val="00CE3419"/>
    <w:rsid w:val="00CE3A2B"/>
    <w:rsid w:val="00CE3A54"/>
    <w:rsid w:val="00CE4106"/>
    <w:rsid w:val="00CE43A6"/>
    <w:rsid w:val="00CE4BA6"/>
    <w:rsid w:val="00CE50C5"/>
    <w:rsid w:val="00CE53F2"/>
    <w:rsid w:val="00CE6542"/>
    <w:rsid w:val="00CE65DD"/>
    <w:rsid w:val="00CE6690"/>
    <w:rsid w:val="00CE66A7"/>
    <w:rsid w:val="00CE6F65"/>
    <w:rsid w:val="00CE79B6"/>
    <w:rsid w:val="00CF0257"/>
    <w:rsid w:val="00CF10BF"/>
    <w:rsid w:val="00CF11CE"/>
    <w:rsid w:val="00CF1D44"/>
    <w:rsid w:val="00CF1E11"/>
    <w:rsid w:val="00CF23CC"/>
    <w:rsid w:val="00CF2CCA"/>
    <w:rsid w:val="00CF324E"/>
    <w:rsid w:val="00CF38DF"/>
    <w:rsid w:val="00CF38E8"/>
    <w:rsid w:val="00CF3D90"/>
    <w:rsid w:val="00CF5146"/>
    <w:rsid w:val="00CF54AF"/>
    <w:rsid w:val="00CF57FA"/>
    <w:rsid w:val="00CF5F93"/>
    <w:rsid w:val="00CF61EF"/>
    <w:rsid w:val="00CF709E"/>
    <w:rsid w:val="00CF70D7"/>
    <w:rsid w:val="00CF7252"/>
    <w:rsid w:val="00CF7B4B"/>
    <w:rsid w:val="00CF7CA4"/>
    <w:rsid w:val="00D018D2"/>
    <w:rsid w:val="00D01AFF"/>
    <w:rsid w:val="00D01BA5"/>
    <w:rsid w:val="00D01DEC"/>
    <w:rsid w:val="00D02374"/>
    <w:rsid w:val="00D02C32"/>
    <w:rsid w:val="00D03CC5"/>
    <w:rsid w:val="00D058E3"/>
    <w:rsid w:val="00D06131"/>
    <w:rsid w:val="00D0790C"/>
    <w:rsid w:val="00D07955"/>
    <w:rsid w:val="00D10D4F"/>
    <w:rsid w:val="00D1104A"/>
    <w:rsid w:val="00D111BA"/>
    <w:rsid w:val="00D11ADD"/>
    <w:rsid w:val="00D12D79"/>
    <w:rsid w:val="00D12DCC"/>
    <w:rsid w:val="00D14420"/>
    <w:rsid w:val="00D14545"/>
    <w:rsid w:val="00D145A4"/>
    <w:rsid w:val="00D1485B"/>
    <w:rsid w:val="00D148AA"/>
    <w:rsid w:val="00D148B9"/>
    <w:rsid w:val="00D14917"/>
    <w:rsid w:val="00D14B76"/>
    <w:rsid w:val="00D1570B"/>
    <w:rsid w:val="00D15833"/>
    <w:rsid w:val="00D15956"/>
    <w:rsid w:val="00D20246"/>
    <w:rsid w:val="00D2034E"/>
    <w:rsid w:val="00D204E0"/>
    <w:rsid w:val="00D207DB"/>
    <w:rsid w:val="00D20A4A"/>
    <w:rsid w:val="00D22202"/>
    <w:rsid w:val="00D226C3"/>
    <w:rsid w:val="00D23B09"/>
    <w:rsid w:val="00D23E26"/>
    <w:rsid w:val="00D23F4B"/>
    <w:rsid w:val="00D243C3"/>
    <w:rsid w:val="00D25871"/>
    <w:rsid w:val="00D30951"/>
    <w:rsid w:val="00D312AD"/>
    <w:rsid w:val="00D31327"/>
    <w:rsid w:val="00D318FE"/>
    <w:rsid w:val="00D319A6"/>
    <w:rsid w:val="00D31AD7"/>
    <w:rsid w:val="00D31B95"/>
    <w:rsid w:val="00D31E2E"/>
    <w:rsid w:val="00D31F49"/>
    <w:rsid w:val="00D32140"/>
    <w:rsid w:val="00D32D30"/>
    <w:rsid w:val="00D33402"/>
    <w:rsid w:val="00D335AD"/>
    <w:rsid w:val="00D345E2"/>
    <w:rsid w:val="00D34697"/>
    <w:rsid w:val="00D34844"/>
    <w:rsid w:val="00D34964"/>
    <w:rsid w:val="00D34BB0"/>
    <w:rsid w:val="00D34C29"/>
    <w:rsid w:val="00D363DE"/>
    <w:rsid w:val="00D36792"/>
    <w:rsid w:val="00D36AB5"/>
    <w:rsid w:val="00D36B1C"/>
    <w:rsid w:val="00D3730C"/>
    <w:rsid w:val="00D37FBB"/>
    <w:rsid w:val="00D40B20"/>
    <w:rsid w:val="00D41E81"/>
    <w:rsid w:val="00D41EF7"/>
    <w:rsid w:val="00D4253F"/>
    <w:rsid w:val="00D427E7"/>
    <w:rsid w:val="00D428D4"/>
    <w:rsid w:val="00D43428"/>
    <w:rsid w:val="00D43598"/>
    <w:rsid w:val="00D4387D"/>
    <w:rsid w:val="00D44087"/>
    <w:rsid w:val="00D44214"/>
    <w:rsid w:val="00D448F6"/>
    <w:rsid w:val="00D4589F"/>
    <w:rsid w:val="00D467CA"/>
    <w:rsid w:val="00D46C67"/>
    <w:rsid w:val="00D47658"/>
    <w:rsid w:val="00D477AD"/>
    <w:rsid w:val="00D508E3"/>
    <w:rsid w:val="00D50BEC"/>
    <w:rsid w:val="00D50D52"/>
    <w:rsid w:val="00D50FA5"/>
    <w:rsid w:val="00D5190D"/>
    <w:rsid w:val="00D51954"/>
    <w:rsid w:val="00D52B65"/>
    <w:rsid w:val="00D52C33"/>
    <w:rsid w:val="00D5481B"/>
    <w:rsid w:val="00D54885"/>
    <w:rsid w:val="00D550B4"/>
    <w:rsid w:val="00D551CA"/>
    <w:rsid w:val="00D55CE6"/>
    <w:rsid w:val="00D55DB8"/>
    <w:rsid w:val="00D5619D"/>
    <w:rsid w:val="00D5630B"/>
    <w:rsid w:val="00D56D5F"/>
    <w:rsid w:val="00D56F6E"/>
    <w:rsid w:val="00D56FA6"/>
    <w:rsid w:val="00D57C10"/>
    <w:rsid w:val="00D57E1A"/>
    <w:rsid w:val="00D60953"/>
    <w:rsid w:val="00D60B01"/>
    <w:rsid w:val="00D60F60"/>
    <w:rsid w:val="00D61227"/>
    <w:rsid w:val="00D6156B"/>
    <w:rsid w:val="00D61822"/>
    <w:rsid w:val="00D6197C"/>
    <w:rsid w:val="00D61A22"/>
    <w:rsid w:val="00D620E4"/>
    <w:rsid w:val="00D62A45"/>
    <w:rsid w:val="00D63046"/>
    <w:rsid w:val="00D64217"/>
    <w:rsid w:val="00D64262"/>
    <w:rsid w:val="00D6473B"/>
    <w:rsid w:val="00D64F69"/>
    <w:rsid w:val="00D64F7B"/>
    <w:rsid w:val="00D64F85"/>
    <w:rsid w:val="00D652DD"/>
    <w:rsid w:val="00D65756"/>
    <w:rsid w:val="00D66675"/>
    <w:rsid w:val="00D66BD4"/>
    <w:rsid w:val="00D66C67"/>
    <w:rsid w:val="00D66D34"/>
    <w:rsid w:val="00D66DC3"/>
    <w:rsid w:val="00D66EE3"/>
    <w:rsid w:val="00D67573"/>
    <w:rsid w:val="00D67B03"/>
    <w:rsid w:val="00D67FDE"/>
    <w:rsid w:val="00D70137"/>
    <w:rsid w:val="00D70568"/>
    <w:rsid w:val="00D7103F"/>
    <w:rsid w:val="00D7122E"/>
    <w:rsid w:val="00D71567"/>
    <w:rsid w:val="00D71B4C"/>
    <w:rsid w:val="00D71F73"/>
    <w:rsid w:val="00D72DBD"/>
    <w:rsid w:val="00D73075"/>
    <w:rsid w:val="00D74289"/>
    <w:rsid w:val="00D74698"/>
    <w:rsid w:val="00D7495D"/>
    <w:rsid w:val="00D7553D"/>
    <w:rsid w:val="00D75EAC"/>
    <w:rsid w:val="00D76178"/>
    <w:rsid w:val="00D762A9"/>
    <w:rsid w:val="00D76C5E"/>
    <w:rsid w:val="00D76D68"/>
    <w:rsid w:val="00D77003"/>
    <w:rsid w:val="00D77222"/>
    <w:rsid w:val="00D77A50"/>
    <w:rsid w:val="00D80543"/>
    <w:rsid w:val="00D80A62"/>
    <w:rsid w:val="00D811CE"/>
    <w:rsid w:val="00D8166E"/>
    <w:rsid w:val="00D81AB1"/>
    <w:rsid w:val="00D81B3C"/>
    <w:rsid w:val="00D81D5F"/>
    <w:rsid w:val="00D81D92"/>
    <w:rsid w:val="00D823A2"/>
    <w:rsid w:val="00D82664"/>
    <w:rsid w:val="00D826F9"/>
    <w:rsid w:val="00D82CDE"/>
    <w:rsid w:val="00D8361E"/>
    <w:rsid w:val="00D8416E"/>
    <w:rsid w:val="00D8448E"/>
    <w:rsid w:val="00D84AF0"/>
    <w:rsid w:val="00D84F43"/>
    <w:rsid w:val="00D8508F"/>
    <w:rsid w:val="00D8542A"/>
    <w:rsid w:val="00D85AE8"/>
    <w:rsid w:val="00D8619A"/>
    <w:rsid w:val="00D86EEA"/>
    <w:rsid w:val="00D8703F"/>
    <w:rsid w:val="00D87446"/>
    <w:rsid w:val="00D87AFF"/>
    <w:rsid w:val="00D90781"/>
    <w:rsid w:val="00D90BE0"/>
    <w:rsid w:val="00D90C63"/>
    <w:rsid w:val="00D9112A"/>
    <w:rsid w:val="00D91306"/>
    <w:rsid w:val="00D91E7E"/>
    <w:rsid w:val="00D91F8D"/>
    <w:rsid w:val="00D920AE"/>
    <w:rsid w:val="00D926F7"/>
    <w:rsid w:val="00D9288A"/>
    <w:rsid w:val="00D934E3"/>
    <w:rsid w:val="00D941DE"/>
    <w:rsid w:val="00D943F0"/>
    <w:rsid w:val="00D944D3"/>
    <w:rsid w:val="00D95BCE"/>
    <w:rsid w:val="00D961A1"/>
    <w:rsid w:val="00D961D3"/>
    <w:rsid w:val="00D961D8"/>
    <w:rsid w:val="00D963CF"/>
    <w:rsid w:val="00D96407"/>
    <w:rsid w:val="00D96933"/>
    <w:rsid w:val="00D96E81"/>
    <w:rsid w:val="00D9772B"/>
    <w:rsid w:val="00DA01B3"/>
    <w:rsid w:val="00DA0A50"/>
    <w:rsid w:val="00DA0D1B"/>
    <w:rsid w:val="00DA126F"/>
    <w:rsid w:val="00DA13A7"/>
    <w:rsid w:val="00DA1DF6"/>
    <w:rsid w:val="00DA1F1C"/>
    <w:rsid w:val="00DA24D1"/>
    <w:rsid w:val="00DA25F9"/>
    <w:rsid w:val="00DA29A2"/>
    <w:rsid w:val="00DA2A6D"/>
    <w:rsid w:val="00DA2B77"/>
    <w:rsid w:val="00DA366E"/>
    <w:rsid w:val="00DA3895"/>
    <w:rsid w:val="00DA3D25"/>
    <w:rsid w:val="00DA3DF7"/>
    <w:rsid w:val="00DA3E76"/>
    <w:rsid w:val="00DA412B"/>
    <w:rsid w:val="00DA4F04"/>
    <w:rsid w:val="00DA5056"/>
    <w:rsid w:val="00DA51E6"/>
    <w:rsid w:val="00DA5A80"/>
    <w:rsid w:val="00DA633D"/>
    <w:rsid w:val="00DA67B6"/>
    <w:rsid w:val="00DA7368"/>
    <w:rsid w:val="00DA79DE"/>
    <w:rsid w:val="00DA7F3A"/>
    <w:rsid w:val="00DB0046"/>
    <w:rsid w:val="00DB0123"/>
    <w:rsid w:val="00DB02ED"/>
    <w:rsid w:val="00DB0DF7"/>
    <w:rsid w:val="00DB18FC"/>
    <w:rsid w:val="00DB1DFB"/>
    <w:rsid w:val="00DB22E2"/>
    <w:rsid w:val="00DB256F"/>
    <w:rsid w:val="00DB260C"/>
    <w:rsid w:val="00DB2A3F"/>
    <w:rsid w:val="00DB2B9E"/>
    <w:rsid w:val="00DB2C33"/>
    <w:rsid w:val="00DB3394"/>
    <w:rsid w:val="00DB37FD"/>
    <w:rsid w:val="00DB3831"/>
    <w:rsid w:val="00DB4644"/>
    <w:rsid w:val="00DB54C4"/>
    <w:rsid w:val="00DB556E"/>
    <w:rsid w:val="00DB6707"/>
    <w:rsid w:val="00DB6A40"/>
    <w:rsid w:val="00DB7107"/>
    <w:rsid w:val="00DB72D8"/>
    <w:rsid w:val="00DB7BF9"/>
    <w:rsid w:val="00DB7C4C"/>
    <w:rsid w:val="00DB7EA1"/>
    <w:rsid w:val="00DC0B63"/>
    <w:rsid w:val="00DC0CB9"/>
    <w:rsid w:val="00DC0E6F"/>
    <w:rsid w:val="00DC178E"/>
    <w:rsid w:val="00DC18AC"/>
    <w:rsid w:val="00DC2476"/>
    <w:rsid w:val="00DC28C9"/>
    <w:rsid w:val="00DC326B"/>
    <w:rsid w:val="00DC343C"/>
    <w:rsid w:val="00DC3519"/>
    <w:rsid w:val="00DC3569"/>
    <w:rsid w:val="00DC3B9E"/>
    <w:rsid w:val="00DC3BE4"/>
    <w:rsid w:val="00DC4BA1"/>
    <w:rsid w:val="00DC51A3"/>
    <w:rsid w:val="00DC546A"/>
    <w:rsid w:val="00DC595F"/>
    <w:rsid w:val="00DC6CFF"/>
    <w:rsid w:val="00DC744D"/>
    <w:rsid w:val="00DC74C2"/>
    <w:rsid w:val="00DC79AE"/>
    <w:rsid w:val="00DC7D84"/>
    <w:rsid w:val="00DD081D"/>
    <w:rsid w:val="00DD15B8"/>
    <w:rsid w:val="00DD1645"/>
    <w:rsid w:val="00DD1859"/>
    <w:rsid w:val="00DD19C1"/>
    <w:rsid w:val="00DD1B37"/>
    <w:rsid w:val="00DD28AE"/>
    <w:rsid w:val="00DD2E21"/>
    <w:rsid w:val="00DD3165"/>
    <w:rsid w:val="00DD3369"/>
    <w:rsid w:val="00DD3C61"/>
    <w:rsid w:val="00DD3CD4"/>
    <w:rsid w:val="00DD4EB6"/>
    <w:rsid w:val="00DD5841"/>
    <w:rsid w:val="00DD63E5"/>
    <w:rsid w:val="00DD6409"/>
    <w:rsid w:val="00DD6B26"/>
    <w:rsid w:val="00DD7653"/>
    <w:rsid w:val="00DD7776"/>
    <w:rsid w:val="00DE03D9"/>
    <w:rsid w:val="00DE1514"/>
    <w:rsid w:val="00DE19B9"/>
    <w:rsid w:val="00DE1A37"/>
    <w:rsid w:val="00DE1B58"/>
    <w:rsid w:val="00DE209F"/>
    <w:rsid w:val="00DE296D"/>
    <w:rsid w:val="00DE2FE8"/>
    <w:rsid w:val="00DE3169"/>
    <w:rsid w:val="00DE3C5D"/>
    <w:rsid w:val="00DE420C"/>
    <w:rsid w:val="00DE4AE4"/>
    <w:rsid w:val="00DE4D0A"/>
    <w:rsid w:val="00DE4D7E"/>
    <w:rsid w:val="00DE56A9"/>
    <w:rsid w:val="00DE5732"/>
    <w:rsid w:val="00DE5D46"/>
    <w:rsid w:val="00DE6A1A"/>
    <w:rsid w:val="00DE6D84"/>
    <w:rsid w:val="00DE6FFB"/>
    <w:rsid w:val="00DF11DE"/>
    <w:rsid w:val="00DF16CA"/>
    <w:rsid w:val="00DF1B93"/>
    <w:rsid w:val="00DF1EC7"/>
    <w:rsid w:val="00DF22DC"/>
    <w:rsid w:val="00DF26A2"/>
    <w:rsid w:val="00DF2A7E"/>
    <w:rsid w:val="00DF3501"/>
    <w:rsid w:val="00DF3D6F"/>
    <w:rsid w:val="00DF62D7"/>
    <w:rsid w:val="00DF6684"/>
    <w:rsid w:val="00DF6989"/>
    <w:rsid w:val="00DF6D3E"/>
    <w:rsid w:val="00DF76C2"/>
    <w:rsid w:val="00DF780B"/>
    <w:rsid w:val="00DF7A78"/>
    <w:rsid w:val="00E002E7"/>
    <w:rsid w:val="00E006B5"/>
    <w:rsid w:val="00E00BD4"/>
    <w:rsid w:val="00E0142A"/>
    <w:rsid w:val="00E0158E"/>
    <w:rsid w:val="00E01672"/>
    <w:rsid w:val="00E01755"/>
    <w:rsid w:val="00E01930"/>
    <w:rsid w:val="00E0207B"/>
    <w:rsid w:val="00E024F1"/>
    <w:rsid w:val="00E02A2F"/>
    <w:rsid w:val="00E02CCB"/>
    <w:rsid w:val="00E02D89"/>
    <w:rsid w:val="00E034CF"/>
    <w:rsid w:val="00E036BB"/>
    <w:rsid w:val="00E03903"/>
    <w:rsid w:val="00E03BFE"/>
    <w:rsid w:val="00E04151"/>
    <w:rsid w:val="00E0476E"/>
    <w:rsid w:val="00E0491A"/>
    <w:rsid w:val="00E0519B"/>
    <w:rsid w:val="00E06815"/>
    <w:rsid w:val="00E0690B"/>
    <w:rsid w:val="00E073BA"/>
    <w:rsid w:val="00E07648"/>
    <w:rsid w:val="00E0786A"/>
    <w:rsid w:val="00E0793C"/>
    <w:rsid w:val="00E07EE4"/>
    <w:rsid w:val="00E1077E"/>
    <w:rsid w:val="00E10EE6"/>
    <w:rsid w:val="00E11331"/>
    <w:rsid w:val="00E115AC"/>
    <w:rsid w:val="00E11D0C"/>
    <w:rsid w:val="00E11F2E"/>
    <w:rsid w:val="00E12201"/>
    <w:rsid w:val="00E12606"/>
    <w:rsid w:val="00E12BEC"/>
    <w:rsid w:val="00E13262"/>
    <w:rsid w:val="00E139CB"/>
    <w:rsid w:val="00E13BC3"/>
    <w:rsid w:val="00E13E10"/>
    <w:rsid w:val="00E14858"/>
    <w:rsid w:val="00E14CCD"/>
    <w:rsid w:val="00E14F00"/>
    <w:rsid w:val="00E15088"/>
    <w:rsid w:val="00E152C5"/>
    <w:rsid w:val="00E153CF"/>
    <w:rsid w:val="00E15558"/>
    <w:rsid w:val="00E16589"/>
    <w:rsid w:val="00E166CE"/>
    <w:rsid w:val="00E16995"/>
    <w:rsid w:val="00E16F72"/>
    <w:rsid w:val="00E17E53"/>
    <w:rsid w:val="00E17E79"/>
    <w:rsid w:val="00E2009B"/>
    <w:rsid w:val="00E200A4"/>
    <w:rsid w:val="00E20888"/>
    <w:rsid w:val="00E20BDE"/>
    <w:rsid w:val="00E20F42"/>
    <w:rsid w:val="00E20F9B"/>
    <w:rsid w:val="00E210F5"/>
    <w:rsid w:val="00E215C8"/>
    <w:rsid w:val="00E21F39"/>
    <w:rsid w:val="00E221A9"/>
    <w:rsid w:val="00E22998"/>
    <w:rsid w:val="00E22AB6"/>
    <w:rsid w:val="00E22D29"/>
    <w:rsid w:val="00E2328F"/>
    <w:rsid w:val="00E23780"/>
    <w:rsid w:val="00E23FC0"/>
    <w:rsid w:val="00E2411C"/>
    <w:rsid w:val="00E2453A"/>
    <w:rsid w:val="00E250AB"/>
    <w:rsid w:val="00E25446"/>
    <w:rsid w:val="00E25FE4"/>
    <w:rsid w:val="00E263F5"/>
    <w:rsid w:val="00E26747"/>
    <w:rsid w:val="00E27200"/>
    <w:rsid w:val="00E27500"/>
    <w:rsid w:val="00E2756C"/>
    <w:rsid w:val="00E27A05"/>
    <w:rsid w:val="00E3010D"/>
    <w:rsid w:val="00E30288"/>
    <w:rsid w:val="00E30BF8"/>
    <w:rsid w:val="00E30EB1"/>
    <w:rsid w:val="00E314C1"/>
    <w:rsid w:val="00E317DF"/>
    <w:rsid w:val="00E31F2E"/>
    <w:rsid w:val="00E3238C"/>
    <w:rsid w:val="00E3258D"/>
    <w:rsid w:val="00E32B14"/>
    <w:rsid w:val="00E330AB"/>
    <w:rsid w:val="00E33426"/>
    <w:rsid w:val="00E33B45"/>
    <w:rsid w:val="00E343FF"/>
    <w:rsid w:val="00E34A48"/>
    <w:rsid w:val="00E35049"/>
    <w:rsid w:val="00E352AD"/>
    <w:rsid w:val="00E3538B"/>
    <w:rsid w:val="00E353E5"/>
    <w:rsid w:val="00E357EE"/>
    <w:rsid w:val="00E3771E"/>
    <w:rsid w:val="00E37841"/>
    <w:rsid w:val="00E403F0"/>
    <w:rsid w:val="00E40BD0"/>
    <w:rsid w:val="00E414FE"/>
    <w:rsid w:val="00E416E1"/>
    <w:rsid w:val="00E41B9F"/>
    <w:rsid w:val="00E42738"/>
    <w:rsid w:val="00E42942"/>
    <w:rsid w:val="00E44A91"/>
    <w:rsid w:val="00E44E07"/>
    <w:rsid w:val="00E44E2E"/>
    <w:rsid w:val="00E453B4"/>
    <w:rsid w:val="00E4611D"/>
    <w:rsid w:val="00E4784D"/>
    <w:rsid w:val="00E4793B"/>
    <w:rsid w:val="00E507D9"/>
    <w:rsid w:val="00E50994"/>
    <w:rsid w:val="00E513DC"/>
    <w:rsid w:val="00E51982"/>
    <w:rsid w:val="00E51AEC"/>
    <w:rsid w:val="00E52033"/>
    <w:rsid w:val="00E520CE"/>
    <w:rsid w:val="00E5234E"/>
    <w:rsid w:val="00E550D2"/>
    <w:rsid w:val="00E559B3"/>
    <w:rsid w:val="00E55C8A"/>
    <w:rsid w:val="00E56779"/>
    <w:rsid w:val="00E56966"/>
    <w:rsid w:val="00E56C87"/>
    <w:rsid w:val="00E56DE7"/>
    <w:rsid w:val="00E56EAE"/>
    <w:rsid w:val="00E57159"/>
    <w:rsid w:val="00E572C4"/>
    <w:rsid w:val="00E5792F"/>
    <w:rsid w:val="00E57C95"/>
    <w:rsid w:val="00E6019E"/>
    <w:rsid w:val="00E602E2"/>
    <w:rsid w:val="00E606A7"/>
    <w:rsid w:val="00E6127B"/>
    <w:rsid w:val="00E61AFF"/>
    <w:rsid w:val="00E61B1E"/>
    <w:rsid w:val="00E61FDF"/>
    <w:rsid w:val="00E6223A"/>
    <w:rsid w:val="00E62338"/>
    <w:rsid w:val="00E63553"/>
    <w:rsid w:val="00E635F4"/>
    <w:rsid w:val="00E63F9A"/>
    <w:rsid w:val="00E64242"/>
    <w:rsid w:val="00E64280"/>
    <w:rsid w:val="00E64389"/>
    <w:rsid w:val="00E64612"/>
    <w:rsid w:val="00E64821"/>
    <w:rsid w:val="00E65419"/>
    <w:rsid w:val="00E6569A"/>
    <w:rsid w:val="00E66260"/>
    <w:rsid w:val="00E66455"/>
    <w:rsid w:val="00E669A8"/>
    <w:rsid w:val="00E66A98"/>
    <w:rsid w:val="00E66F56"/>
    <w:rsid w:val="00E670E3"/>
    <w:rsid w:val="00E6716E"/>
    <w:rsid w:val="00E672EC"/>
    <w:rsid w:val="00E678F7"/>
    <w:rsid w:val="00E67AA2"/>
    <w:rsid w:val="00E702AC"/>
    <w:rsid w:val="00E704DB"/>
    <w:rsid w:val="00E71063"/>
    <w:rsid w:val="00E72197"/>
    <w:rsid w:val="00E724A4"/>
    <w:rsid w:val="00E72637"/>
    <w:rsid w:val="00E72C2E"/>
    <w:rsid w:val="00E7308D"/>
    <w:rsid w:val="00E736D1"/>
    <w:rsid w:val="00E73B1F"/>
    <w:rsid w:val="00E7400B"/>
    <w:rsid w:val="00E7453A"/>
    <w:rsid w:val="00E74E63"/>
    <w:rsid w:val="00E753D2"/>
    <w:rsid w:val="00E75580"/>
    <w:rsid w:val="00E75800"/>
    <w:rsid w:val="00E75B79"/>
    <w:rsid w:val="00E75EA5"/>
    <w:rsid w:val="00E767E5"/>
    <w:rsid w:val="00E76C09"/>
    <w:rsid w:val="00E779B7"/>
    <w:rsid w:val="00E77A64"/>
    <w:rsid w:val="00E77A79"/>
    <w:rsid w:val="00E77CB2"/>
    <w:rsid w:val="00E80BE1"/>
    <w:rsid w:val="00E80F28"/>
    <w:rsid w:val="00E80F80"/>
    <w:rsid w:val="00E811A5"/>
    <w:rsid w:val="00E81BF5"/>
    <w:rsid w:val="00E82656"/>
    <w:rsid w:val="00E82660"/>
    <w:rsid w:val="00E826E6"/>
    <w:rsid w:val="00E82ACB"/>
    <w:rsid w:val="00E82ADC"/>
    <w:rsid w:val="00E836CD"/>
    <w:rsid w:val="00E846A3"/>
    <w:rsid w:val="00E846F8"/>
    <w:rsid w:val="00E8506D"/>
    <w:rsid w:val="00E854F4"/>
    <w:rsid w:val="00E85BBF"/>
    <w:rsid w:val="00E85F71"/>
    <w:rsid w:val="00E868D4"/>
    <w:rsid w:val="00E87208"/>
    <w:rsid w:val="00E8761E"/>
    <w:rsid w:val="00E87655"/>
    <w:rsid w:val="00E877AE"/>
    <w:rsid w:val="00E87DD3"/>
    <w:rsid w:val="00E900C4"/>
    <w:rsid w:val="00E913B5"/>
    <w:rsid w:val="00E91975"/>
    <w:rsid w:val="00E91BC4"/>
    <w:rsid w:val="00E92063"/>
    <w:rsid w:val="00E92762"/>
    <w:rsid w:val="00E92B9C"/>
    <w:rsid w:val="00E92E38"/>
    <w:rsid w:val="00E94C6A"/>
    <w:rsid w:val="00E952C7"/>
    <w:rsid w:val="00E9536D"/>
    <w:rsid w:val="00E96044"/>
    <w:rsid w:val="00E96979"/>
    <w:rsid w:val="00E96A34"/>
    <w:rsid w:val="00E97769"/>
    <w:rsid w:val="00E97A27"/>
    <w:rsid w:val="00E97D58"/>
    <w:rsid w:val="00EA031E"/>
    <w:rsid w:val="00EA0479"/>
    <w:rsid w:val="00EA086F"/>
    <w:rsid w:val="00EA0899"/>
    <w:rsid w:val="00EA0B59"/>
    <w:rsid w:val="00EA0E43"/>
    <w:rsid w:val="00EA0F56"/>
    <w:rsid w:val="00EA0FD5"/>
    <w:rsid w:val="00EA13BA"/>
    <w:rsid w:val="00EA1662"/>
    <w:rsid w:val="00EA1BC3"/>
    <w:rsid w:val="00EA1F56"/>
    <w:rsid w:val="00EA265B"/>
    <w:rsid w:val="00EA3134"/>
    <w:rsid w:val="00EA34D1"/>
    <w:rsid w:val="00EA35C7"/>
    <w:rsid w:val="00EA37AC"/>
    <w:rsid w:val="00EA3F5B"/>
    <w:rsid w:val="00EA446F"/>
    <w:rsid w:val="00EA48C8"/>
    <w:rsid w:val="00EA4ED8"/>
    <w:rsid w:val="00EA5453"/>
    <w:rsid w:val="00EA566E"/>
    <w:rsid w:val="00EA5801"/>
    <w:rsid w:val="00EA5D79"/>
    <w:rsid w:val="00EA6959"/>
    <w:rsid w:val="00EA6C6E"/>
    <w:rsid w:val="00EA6D15"/>
    <w:rsid w:val="00EA776C"/>
    <w:rsid w:val="00EA7B3F"/>
    <w:rsid w:val="00EA7EA2"/>
    <w:rsid w:val="00EB03E4"/>
    <w:rsid w:val="00EB0990"/>
    <w:rsid w:val="00EB16B2"/>
    <w:rsid w:val="00EB2532"/>
    <w:rsid w:val="00EB2ED8"/>
    <w:rsid w:val="00EB341D"/>
    <w:rsid w:val="00EB3740"/>
    <w:rsid w:val="00EB39B4"/>
    <w:rsid w:val="00EB3DA7"/>
    <w:rsid w:val="00EB3EE7"/>
    <w:rsid w:val="00EB401F"/>
    <w:rsid w:val="00EB46D7"/>
    <w:rsid w:val="00EB50F0"/>
    <w:rsid w:val="00EB564D"/>
    <w:rsid w:val="00EB58A5"/>
    <w:rsid w:val="00EB62B8"/>
    <w:rsid w:val="00EB63C9"/>
    <w:rsid w:val="00EB6455"/>
    <w:rsid w:val="00EB6781"/>
    <w:rsid w:val="00EB6D9F"/>
    <w:rsid w:val="00EB74D7"/>
    <w:rsid w:val="00EB78D8"/>
    <w:rsid w:val="00EB79E1"/>
    <w:rsid w:val="00EB7AAE"/>
    <w:rsid w:val="00EB7FCE"/>
    <w:rsid w:val="00EC0050"/>
    <w:rsid w:val="00EC08ED"/>
    <w:rsid w:val="00EC0EC0"/>
    <w:rsid w:val="00EC1BCA"/>
    <w:rsid w:val="00EC20F5"/>
    <w:rsid w:val="00EC2B98"/>
    <w:rsid w:val="00EC2D64"/>
    <w:rsid w:val="00EC377F"/>
    <w:rsid w:val="00EC3BE2"/>
    <w:rsid w:val="00EC42EE"/>
    <w:rsid w:val="00EC483D"/>
    <w:rsid w:val="00EC48D1"/>
    <w:rsid w:val="00EC4F70"/>
    <w:rsid w:val="00EC56BD"/>
    <w:rsid w:val="00EC59A0"/>
    <w:rsid w:val="00EC6165"/>
    <w:rsid w:val="00EC61C9"/>
    <w:rsid w:val="00EC696C"/>
    <w:rsid w:val="00EC6C38"/>
    <w:rsid w:val="00EC707B"/>
    <w:rsid w:val="00EC73DF"/>
    <w:rsid w:val="00ED039D"/>
    <w:rsid w:val="00ED0939"/>
    <w:rsid w:val="00ED0C60"/>
    <w:rsid w:val="00ED0F6D"/>
    <w:rsid w:val="00ED1613"/>
    <w:rsid w:val="00ED204B"/>
    <w:rsid w:val="00ED21FE"/>
    <w:rsid w:val="00ED279E"/>
    <w:rsid w:val="00ED2A9C"/>
    <w:rsid w:val="00ED40E2"/>
    <w:rsid w:val="00ED44B9"/>
    <w:rsid w:val="00ED5D6B"/>
    <w:rsid w:val="00ED6F01"/>
    <w:rsid w:val="00ED71F1"/>
    <w:rsid w:val="00ED7CE7"/>
    <w:rsid w:val="00EE02A3"/>
    <w:rsid w:val="00EE0986"/>
    <w:rsid w:val="00EE0B19"/>
    <w:rsid w:val="00EE0F99"/>
    <w:rsid w:val="00EE1031"/>
    <w:rsid w:val="00EE10E0"/>
    <w:rsid w:val="00EE1921"/>
    <w:rsid w:val="00EE2080"/>
    <w:rsid w:val="00EE271C"/>
    <w:rsid w:val="00EE28D7"/>
    <w:rsid w:val="00EE38C8"/>
    <w:rsid w:val="00EE43F3"/>
    <w:rsid w:val="00EE48F5"/>
    <w:rsid w:val="00EE4CEF"/>
    <w:rsid w:val="00EE52DF"/>
    <w:rsid w:val="00EE5E93"/>
    <w:rsid w:val="00EE74F3"/>
    <w:rsid w:val="00EE754C"/>
    <w:rsid w:val="00EF04A8"/>
    <w:rsid w:val="00EF0908"/>
    <w:rsid w:val="00EF0D50"/>
    <w:rsid w:val="00EF1519"/>
    <w:rsid w:val="00EF1700"/>
    <w:rsid w:val="00EF1944"/>
    <w:rsid w:val="00EF2AD4"/>
    <w:rsid w:val="00EF30F5"/>
    <w:rsid w:val="00EF3CDA"/>
    <w:rsid w:val="00EF5115"/>
    <w:rsid w:val="00EF516A"/>
    <w:rsid w:val="00EF529C"/>
    <w:rsid w:val="00EF5607"/>
    <w:rsid w:val="00EF56A1"/>
    <w:rsid w:val="00EF5A18"/>
    <w:rsid w:val="00EF5CE1"/>
    <w:rsid w:val="00EF6349"/>
    <w:rsid w:val="00EF74BC"/>
    <w:rsid w:val="00EF77B2"/>
    <w:rsid w:val="00EF79D0"/>
    <w:rsid w:val="00EF7ADD"/>
    <w:rsid w:val="00EF7C1C"/>
    <w:rsid w:val="00EF7DD6"/>
    <w:rsid w:val="00F00847"/>
    <w:rsid w:val="00F00B41"/>
    <w:rsid w:val="00F00BC5"/>
    <w:rsid w:val="00F00EB9"/>
    <w:rsid w:val="00F01177"/>
    <w:rsid w:val="00F01B5B"/>
    <w:rsid w:val="00F02359"/>
    <w:rsid w:val="00F0284F"/>
    <w:rsid w:val="00F0285B"/>
    <w:rsid w:val="00F02A14"/>
    <w:rsid w:val="00F03212"/>
    <w:rsid w:val="00F03487"/>
    <w:rsid w:val="00F03B21"/>
    <w:rsid w:val="00F03D5A"/>
    <w:rsid w:val="00F04DD5"/>
    <w:rsid w:val="00F04E67"/>
    <w:rsid w:val="00F04F2F"/>
    <w:rsid w:val="00F050D9"/>
    <w:rsid w:val="00F058A4"/>
    <w:rsid w:val="00F065FD"/>
    <w:rsid w:val="00F06B59"/>
    <w:rsid w:val="00F06CC2"/>
    <w:rsid w:val="00F07271"/>
    <w:rsid w:val="00F078D4"/>
    <w:rsid w:val="00F07B76"/>
    <w:rsid w:val="00F07DEF"/>
    <w:rsid w:val="00F10A52"/>
    <w:rsid w:val="00F11587"/>
    <w:rsid w:val="00F11909"/>
    <w:rsid w:val="00F11A28"/>
    <w:rsid w:val="00F11FAB"/>
    <w:rsid w:val="00F12291"/>
    <w:rsid w:val="00F138AD"/>
    <w:rsid w:val="00F13EB6"/>
    <w:rsid w:val="00F148A4"/>
    <w:rsid w:val="00F153ED"/>
    <w:rsid w:val="00F1579F"/>
    <w:rsid w:val="00F15F18"/>
    <w:rsid w:val="00F164B3"/>
    <w:rsid w:val="00F16D67"/>
    <w:rsid w:val="00F16F6B"/>
    <w:rsid w:val="00F17580"/>
    <w:rsid w:val="00F17897"/>
    <w:rsid w:val="00F17A04"/>
    <w:rsid w:val="00F17BDF"/>
    <w:rsid w:val="00F20273"/>
    <w:rsid w:val="00F20B35"/>
    <w:rsid w:val="00F21081"/>
    <w:rsid w:val="00F21388"/>
    <w:rsid w:val="00F2140B"/>
    <w:rsid w:val="00F21581"/>
    <w:rsid w:val="00F2197B"/>
    <w:rsid w:val="00F219EB"/>
    <w:rsid w:val="00F225A3"/>
    <w:rsid w:val="00F225ED"/>
    <w:rsid w:val="00F236A1"/>
    <w:rsid w:val="00F236A2"/>
    <w:rsid w:val="00F23B0C"/>
    <w:rsid w:val="00F24215"/>
    <w:rsid w:val="00F2424F"/>
    <w:rsid w:val="00F24437"/>
    <w:rsid w:val="00F2485E"/>
    <w:rsid w:val="00F24A31"/>
    <w:rsid w:val="00F2544C"/>
    <w:rsid w:val="00F27308"/>
    <w:rsid w:val="00F273B9"/>
    <w:rsid w:val="00F27603"/>
    <w:rsid w:val="00F3006C"/>
    <w:rsid w:val="00F3099A"/>
    <w:rsid w:val="00F30DFD"/>
    <w:rsid w:val="00F31104"/>
    <w:rsid w:val="00F31E50"/>
    <w:rsid w:val="00F32EE3"/>
    <w:rsid w:val="00F3371E"/>
    <w:rsid w:val="00F33A2E"/>
    <w:rsid w:val="00F33EE6"/>
    <w:rsid w:val="00F3410F"/>
    <w:rsid w:val="00F34863"/>
    <w:rsid w:val="00F34A58"/>
    <w:rsid w:val="00F34F20"/>
    <w:rsid w:val="00F35956"/>
    <w:rsid w:val="00F359A9"/>
    <w:rsid w:val="00F35AFA"/>
    <w:rsid w:val="00F35C6D"/>
    <w:rsid w:val="00F36AEB"/>
    <w:rsid w:val="00F36E38"/>
    <w:rsid w:val="00F37230"/>
    <w:rsid w:val="00F37A66"/>
    <w:rsid w:val="00F405F8"/>
    <w:rsid w:val="00F40600"/>
    <w:rsid w:val="00F4077C"/>
    <w:rsid w:val="00F40DB6"/>
    <w:rsid w:val="00F41194"/>
    <w:rsid w:val="00F4141C"/>
    <w:rsid w:val="00F41AB8"/>
    <w:rsid w:val="00F42DC5"/>
    <w:rsid w:val="00F42E10"/>
    <w:rsid w:val="00F4362D"/>
    <w:rsid w:val="00F43E46"/>
    <w:rsid w:val="00F4416B"/>
    <w:rsid w:val="00F453D5"/>
    <w:rsid w:val="00F458C7"/>
    <w:rsid w:val="00F45A2D"/>
    <w:rsid w:val="00F46ECF"/>
    <w:rsid w:val="00F474A5"/>
    <w:rsid w:val="00F50837"/>
    <w:rsid w:val="00F50C8A"/>
    <w:rsid w:val="00F510E7"/>
    <w:rsid w:val="00F52218"/>
    <w:rsid w:val="00F52436"/>
    <w:rsid w:val="00F52527"/>
    <w:rsid w:val="00F5270F"/>
    <w:rsid w:val="00F52DFB"/>
    <w:rsid w:val="00F535E9"/>
    <w:rsid w:val="00F53978"/>
    <w:rsid w:val="00F53D8A"/>
    <w:rsid w:val="00F5468C"/>
    <w:rsid w:val="00F54DEE"/>
    <w:rsid w:val="00F54E29"/>
    <w:rsid w:val="00F5532E"/>
    <w:rsid w:val="00F556E7"/>
    <w:rsid w:val="00F55D61"/>
    <w:rsid w:val="00F56A15"/>
    <w:rsid w:val="00F56B8E"/>
    <w:rsid w:val="00F56CA0"/>
    <w:rsid w:val="00F56F10"/>
    <w:rsid w:val="00F56F90"/>
    <w:rsid w:val="00F57220"/>
    <w:rsid w:val="00F57DAF"/>
    <w:rsid w:val="00F608C2"/>
    <w:rsid w:val="00F60E5F"/>
    <w:rsid w:val="00F611CD"/>
    <w:rsid w:val="00F6221B"/>
    <w:rsid w:val="00F62522"/>
    <w:rsid w:val="00F6275C"/>
    <w:rsid w:val="00F629D9"/>
    <w:rsid w:val="00F62BA2"/>
    <w:rsid w:val="00F6363F"/>
    <w:rsid w:val="00F63822"/>
    <w:rsid w:val="00F638D4"/>
    <w:rsid w:val="00F63D70"/>
    <w:rsid w:val="00F63F77"/>
    <w:rsid w:val="00F65041"/>
    <w:rsid w:val="00F651B3"/>
    <w:rsid w:val="00F655AB"/>
    <w:rsid w:val="00F65653"/>
    <w:rsid w:val="00F65C60"/>
    <w:rsid w:val="00F65FA9"/>
    <w:rsid w:val="00F65FD3"/>
    <w:rsid w:val="00F667F1"/>
    <w:rsid w:val="00F66941"/>
    <w:rsid w:val="00F669B4"/>
    <w:rsid w:val="00F66B11"/>
    <w:rsid w:val="00F674B9"/>
    <w:rsid w:val="00F70148"/>
    <w:rsid w:val="00F70921"/>
    <w:rsid w:val="00F70A0E"/>
    <w:rsid w:val="00F712AD"/>
    <w:rsid w:val="00F713CF"/>
    <w:rsid w:val="00F718DB"/>
    <w:rsid w:val="00F71EA8"/>
    <w:rsid w:val="00F71FB6"/>
    <w:rsid w:val="00F72238"/>
    <w:rsid w:val="00F723BF"/>
    <w:rsid w:val="00F7278A"/>
    <w:rsid w:val="00F72A2B"/>
    <w:rsid w:val="00F73B01"/>
    <w:rsid w:val="00F73F95"/>
    <w:rsid w:val="00F73FAF"/>
    <w:rsid w:val="00F7416C"/>
    <w:rsid w:val="00F74BA4"/>
    <w:rsid w:val="00F75067"/>
    <w:rsid w:val="00F751C2"/>
    <w:rsid w:val="00F75211"/>
    <w:rsid w:val="00F7545E"/>
    <w:rsid w:val="00F75551"/>
    <w:rsid w:val="00F7561A"/>
    <w:rsid w:val="00F7610B"/>
    <w:rsid w:val="00F76322"/>
    <w:rsid w:val="00F76669"/>
    <w:rsid w:val="00F76E70"/>
    <w:rsid w:val="00F76F31"/>
    <w:rsid w:val="00F77290"/>
    <w:rsid w:val="00F800D4"/>
    <w:rsid w:val="00F8047F"/>
    <w:rsid w:val="00F807D9"/>
    <w:rsid w:val="00F80A54"/>
    <w:rsid w:val="00F80C82"/>
    <w:rsid w:val="00F80D47"/>
    <w:rsid w:val="00F819F8"/>
    <w:rsid w:val="00F81A12"/>
    <w:rsid w:val="00F81C97"/>
    <w:rsid w:val="00F81DDF"/>
    <w:rsid w:val="00F82943"/>
    <w:rsid w:val="00F8352F"/>
    <w:rsid w:val="00F8374C"/>
    <w:rsid w:val="00F83B3E"/>
    <w:rsid w:val="00F83F22"/>
    <w:rsid w:val="00F840BB"/>
    <w:rsid w:val="00F842AB"/>
    <w:rsid w:val="00F85A0C"/>
    <w:rsid w:val="00F861E4"/>
    <w:rsid w:val="00F86220"/>
    <w:rsid w:val="00F86DDB"/>
    <w:rsid w:val="00F86F45"/>
    <w:rsid w:val="00F8714D"/>
    <w:rsid w:val="00F87354"/>
    <w:rsid w:val="00F877F6"/>
    <w:rsid w:val="00F90090"/>
    <w:rsid w:val="00F908A9"/>
    <w:rsid w:val="00F90E2D"/>
    <w:rsid w:val="00F9152F"/>
    <w:rsid w:val="00F91671"/>
    <w:rsid w:val="00F928E5"/>
    <w:rsid w:val="00F92E27"/>
    <w:rsid w:val="00F933B1"/>
    <w:rsid w:val="00F93A1F"/>
    <w:rsid w:val="00F93D74"/>
    <w:rsid w:val="00F94078"/>
    <w:rsid w:val="00F94586"/>
    <w:rsid w:val="00F95229"/>
    <w:rsid w:val="00F95946"/>
    <w:rsid w:val="00F966C5"/>
    <w:rsid w:val="00F973BC"/>
    <w:rsid w:val="00F97677"/>
    <w:rsid w:val="00F977DA"/>
    <w:rsid w:val="00F97928"/>
    <w:rsid w:val="00F97C14"/>
    <w:rsid w:val="00FA0735"/>
    <w:rsid w:val="00FA09E8"/>
    <w:rsid w:val="00FA0A08"/>
    <w:rsid w:val="00FA0C47"/>
    <w:rsid w:val="00FA0F2D"/>
    <w:rsid w:val="00FA17E4"/>
    <w:rsid w:val="00FA1AA5"/>
    <w:rsid w:val="00FA1B04"/>
    <w:rsid w:val="00FA24FF"/>
    <w:rsid w:val="00FA25F7"/>
    <w:rsid w:val="00FA2EBC"/>
    <w:rsid w:val="00FA301D"/>
    <w:rsid w:val="00FA34D4"/>
    <w:rsid w:val="00FA3597"/>
    <w:rsid w:val="00FA41E3"/>
    <w:rsid w:val="00FA4254"/>
    <w:rsid w:val="00FA5A34"/>
    <w:rsid w:val="00FA6026"/>
    <w:rsid w:val="00FA61F6"/>
    <w:rsid w:val="00FA675E"/>
    <w:rsid w:val="00FA6976"/>
    <w:rsid w:val="00FA6C56"/>
    <w:rsid w:val="00FA7128"/>
    <w:rsid w:val="00FA7268"/>
    <w:rsid w:val="00FA7389"/>
    <w:rsid w:val="00FA7929"/>
    <w:rsid w:val="00FA7AEC"/>
    <w:rsid w:val="00FA7D9C"/>
    <w:rsid w:val="00FA7EEB"/>
    <w:rsid w:val="00FB069A"/>
    <w:rsid w:val="00FB0C9C"/>
    <w:rsid w:val="00FB1736"/>
    <w:rsid w:val="00FB1DB9"/>
    <w:rsid w:val="00FB2271"/>
    <w:rsid w:val="00FB2BD6"/>
    <w:rsid w:val="00FB2E05"/>
    <w:rsid w:val="00FB33E8"/>
    <w:rsid w:val="00FB35CD"/>
    <w:rsid w:val="00FB3AA2"/>
    <w:rsid w:val="00FB3E3E"/>
    <w:rsid w:val="00FB4C3F"/>
    <w:rsid w:val="00FB5486"/>
    <w:rsid w:val="00FB5489"/>
    <w:rsid w:val="00FB563E"/>
    <w:rsid w:val="00FB632F"/>
    <w:rsid w:val="00FB68A7"/>
    <w:rsid w:val="00FB6C61"/>
    <w:rsid w:val="00FB71FB"/>
    <w:rsid w:val="00FB7FD4"/>
    <w:rsid w:val="00FC0584"/>
    <w:rsid w:val="00FC0605"/>
    <w:rsid w:val="00FC0740"/>
    <w:rsid w:val="00FC1028"/>
    <w:rsid w:val="00FC1466"/>
    <w:rsid w:val="00FC1A82"/>
    <w:rsid w:val="00FC1D1F"/>
    <w:rsid w:val="00FC2222"/>
    <w:rsid w:val="00FC2A96"/>
    <w:rsid w:val="00FC2D03"/>
    <w:rsid w:val="00FC2F94"/>
    <w:rsid w:val="00FC3031"/>
    <w:rsid w:val="00FC3EA0"/>
    <w:rsid w:val="00FC3FF1"/>
    <w:rsid w:val="00FC41F6"/>
    <w:rsid w:val="00FC4E7D"/>
    <w:rsid w:val="00FC5691"/>
    <w:rsid w:val="00FC56A7"/>
    <w:rsid w:val="00FC5BF8"/>
    <w:rsid w:val="00FC61AD"/>
    <w:rsid w:val="00FC61DE"/>
    <w:rsid w:val="00FC707F"/>
    <w:rsid w:val="00FC7686"/>
    <w:rsid w:val="00FC79F7"/>
    <w:rsid w:val="00FC7C09"/>
    <w:rsid w:val="00FD056F"/>
    <w:rsid w:val="00FD05D9"/>
    <w:rsid w:val="00FD07D3"/>
    <w:rsid w:val="00FD0AA4"/>
    <w:rsid w:val="00FD0CEE"/>
    <w:rsid w:val="00FD121D"/>
    <w:rsid w:val="00FD1506"/>
    <w:rsid w:val="00FD163F"/>
    <w:rsid w:val="00FD180C"/>
    <w:rsid w:val="00FD1DAE"/>
    <w:rsid w:val="00FD2278"/>
    <w:rsid w:val="00FD24D0"/>
    <w:rsid w:val="00FD27E6"/>
    <w:rsid w:val="00FD2F00"/>
    <w:rsid w:val="00FD3179"/>
    <w:rsid w:val="00FD35DF"/>
    <w:rsid w:val="00FD42FD"/>
    <w:rsid w:val="00FD49BE"/>
    <w:rsid w:val="00FD65BA"/>
    <w:rsid w:val="00FD68CD"/>
    <w:rsid w:val="00FD7002"/>
    <w:rsid w:val="00FD7710"/>
    <w:rsid w:val="00FD7C3D"/>
    <w:rsid w:val="00FE0C4F"/>
    <w:rsid w:val="00FE197B"/>
    <w:rsid w:val="00FE1A47"/>
    <w:rsid w:val="00FE1B24"/>
    <w:rsid w:val="00FE2E9A"/>
    <w:rsid w:val="00FE3171"/>
    <w:rsid w:val="00FE34E4"/>
    <w:rsid w:val="00FE3E59"/>
    <w:rsid w:val="00FE4081"/>
    <w:rsid w:val="00FE4BB6"/>
    <w:rsid w:val="00FE4D0B"/>
    <w:rsid w:val="00FE4DBA"/>
    <w:rsid w:val="00FE4F9B"/>
    <w:rsid w:val="00FE553F"/>
    <w:rsid w:val="00FE5E9F"/>
    <w:rsid w:val="00FE5F9F"/>
    <w:rsid w:val="00FE7391"/>
    <w:rsid w:val="00FE7DB8"/>
    <w:rsid w:val="00FF0208"/>
    <w:rsid w:val="00FF04B9"/>
    <w:rsid w:val="00FF09A2"/>
    <w:rsid w:val="00FF0BD5"/>
    <w:rsid w:val="00FF160F"/>
    <w:rsid w:val="00FF24DE"/>
    <w:rsid w:val="00FF2B8E"/>
    <w:rsid w:val="00FF3506"/>
    <w:rsid w:val="00FF37E1"/>
    <w:rsid w:val="00FF39C1"/>
    <w:rsid w:val="00FF503F"/>
    <w:rsid w:val="00FF5104"/>
    <w:rsid w:val="00FF596C"/>
    <w:rsid w:val="00FF5BBD"/>
    <w:rsid w:val="00FF5C98"/>
    <w:rsid w:val="00FF5F73"/>
    <w:rsid w:val="00FF69CA"/>
    <w:rsid w:val="00FF6B98"/>
    <w:rsid w:val="00FF7B30"/>
    <w:rsid w:val="00FF7FCA"/>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691EF"/>
  <w15:docId w15:val="{3D98A53F-5F61-4B62-A335-99F32B032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D61"/>
    <w:pPr>
      <w:spacing w:after="0" w:line="240" w:lineRule="auto"/>
      <w:jc w:val="both"/>
    </w:pPr>
    <w:rPr>
      <w:rFonts w:ascii="Times New Roman" w:eastAsiaTheme="minorEastAsia" w:hAnsi="Times New Roman"/>
      <w:szCs w:val="24"/>
      <w:lang w:eastAsia="es-ES"/>
    </w:rPr>
  </w:style>
  <w:style w:type="paragraph" w:styleId="Ttulo1">
    <w:name w:val="heading 1"/>
    <w:basedOn w:val="Normal"/>
    <w:next w:val="Normal"/>
    <w:link w:val="Ttulo1Car"/>
    <w:uiPriority w:val="9"/>
    <w:qFormat/>
    <w:rsid w:val="003258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64BA9"/>
    <w:pPr>
      <w:keepNext/>
      <w:keepLines/>
      <w:spacing w:before="120" w:after="12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C0470"/>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064BA9"/>
    <w:rPr>
      <w:rFonts w:asciiTheme="majorHAnsi" w:eastAsiaTheme="majorEastAsia" w:hAnsiTheme="majorHAnsi" w:cstheme="majorBidi"/>
      <w:b/>
      <w:bCs/>
      <w:color w:val="4F81BD" w:themeColor="accent1"/>
      <w:sz w:val="26"/>
      <w:szCs w:val="26"/>
      <w:lang w:val="es-ES_tradnl" w:eastAsia="es-ES"/>
    </w:rPr>
  </w:style>
  <w:style w:type="paragraph" w:styleId="Prrafodelista">
    <w:name w:val="List Paragraph"/>
    <w:basedOn w:val="Normal"/>
    <w:uiPriority w:val="34"/>
    <w:qFormat/>
    <w:rsid w:val="00E97769"/>
    <w:pPr>
      <w:ind w:left="720"/>
      <w:contextualSpacing/>
    </w:pPr>
    <w:rPr>
      <w:rFonts w:eastAsiaTheme="minorHAnsi"/>
      <w:sz w:val="16"/>
      <w:szCs w:val="22"/>
      <w:lang w:eastAsia="en-US"/>
    </w:rPr>
  </w:style>
  <w:style w:type="paragraph" w:customStyle="1" w:styleId="Default">
    <w:name w:val="Default"/>
    <w:rsid w:val="00D43598"/>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59"/>
    <w:rsid w:val="00D4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D68CD"/>
    <w:pPr>
      <w:spacing w:before="100" w:beforeAutospacing="1" w:after="100" w:afterAutospacing="1"/>
    </w:pPr>
    <w:rPr>
      <w:rFonts w:cs="Times New Roman"/>
      <w:lang w:eastAsia="es-GT"/>
    </w:rPr>
  </w:style>
  <w:style w:type="paragraph" w:styleId="Textonotapie">
    <w:name w:val="footnote text"/>
    <w:basedOn w:val="Normal"/>
    <w:link w:val="TextonotapieCar"/>
    <w:uiPriority w:val="99"/>
    <w:semiHidden/>
    <w:unhideWhenUsed/>
    <w:rsid w:val="000B5E1C"/>
    <w:rPr>
      <w:rFonts w:eastAsiaTheme="minorHAnsi"/>
      <w:sz w:val="20"/>
      <w:szCs w:val="20"/>
      <w:lang w:eastAsia="en-US"/>
    </w:rPr>
  </w:style>
  <w:style w:type="character" w:customStyle="1" w:styleId="TextonotapieCar">
    <w:name w:val="Texto nota pie Car"/>
    <w:basedOn w:val="Fuentedeprrafopredeter"/>
    <w:link w:val="Textonotapie"/>
    <w:uiPriority w:val="99"/>
    <w:semiHidden/>
    <w:rsid w:val="000B5E1C"/>
    <w:rPr>
      <w:sz w:val="20"/>
      <w:szCs w:val="20"/>
    </w:rPr>
  </w:style>
  <w:style w:type="character" w:styleId="Refdenotaalpie">
    <w:name w:val="footnote reference"/>
    <w:basedOn w:val="Fuentedeprrafopredeter"/>
    <w:uiPriority w:val="99"/>
    <w:semiHidden/>
    <w:unhideWhenUsed/>
    <w:rsid w:val="000B5E1C"/>
    <w:rPr>
      <w:vertAlign w:val="superscript"/>
    </w:rPr>
  </w:style>
  <w:style w:type="table" w:styleId="Cuadrculaclara-nfasis1">
    <w:name w:val="Light Grid Accent 1"/>
    <w:basedOn w:val="Tablanormal"/>
    <w:uiPriority w:val="62"/>
    <w:rsid w:val="000B5E1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5">
    <w:name w:val="Light Shading Accent 5"/>
    <w:basedOn w:val="Tablanormal"/>
    <w:uiPriority w:val="60"/>
    <w:rsid w:val="000B5E1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Sinespaciado">
    <w:name w:val="No Spacing"/>
    <w:link w:val="SinespaciadoCar"/>
    <w:uiPriority w:val="1"/>
    <w:qFormat/>
    <w:rsid w:val="000B5E1C"/>
    <w:pPr>
      <w:spacing w:after="0" w:line="240" w:lineRule="auto"/>
    </w:pPr>
  </w:style>
  <w:style w:type="character" w:customStyle="1" w:styleId="SinespaciadoCar">
    <w:name w:val="Sin espaciado Car"/>
    <w:basedOn w:val="Fuentedeprrafopredeter"/>
    <w:link w:val="Sinespaciado"/>
    <w:uiPriority w:val="1"/>
    <w:locked/>
    <w:rsid w:val="000B5E1C"/>
  </w:style>
  <w:style w:type="paragraph" w:styleId="Ttulo">
    <w:name w:val="Title"/>
    <w:basedOn w:val="Normal"/>
    <w:next w:val="Normal"/>
    <w:link w:val="TtuloCar"/>
    <w:uiPriority w:val="10"/>
    <w:qFormat/>
    <w:rsid w:val="0032588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s-GT"/>
    </w:rPr>
  </w:style>
  <w:style w:type="character" w:customStyle="1" w:styleId="TtuloCar">
    <w:name w:val="Título Car"/>
    <w:basedOn w:val="Fuentedeprrafopredeter"/>
    <w:link w:val="Ttulo"/>
    <w:uiPriority w:val="10"/>
    <w:rsid w:val="0032588B"/>
    <w:rPr>
      <w:rFonts w:asciiTheme="majorHAnsi" w:eastAsiaTheme="majorEastAsia" w:hAnsiTheme="majorHAnsi" w:cstheme="majorBidi"/>
      <w:color w:val="17365D" w:themeColor="text2" w:themeShade="BF"/>
      <w:spacing w:val="5"/>
      <w:kern w:val="28"/>
      <w:sz w:val="52"/>
      <w:szCs w:val="52"/>
      <w:lang w:eastAsia="es-GT"/>
    </w:rPr>
  </w:style>
  <w:style w:type="paragraph" w:styleId="Subttulo">
    <w:name w:val="Subtitle"/>
    <w:basedOn w:val="Normal"/>
    <w:next w:val="Normal"/>
    <w:link w:val="SubttuloCar"/>
    <w:uiPriority w:val="11"/>
    <w:qFormat/>
    <w:rsid w:val="0032588B"/>
    <w:pPr>
      <w:numPr>
        <w:ilvl w:val="1"/>
      </w:numPr>
      <w:spacing w:after="200" w:line="276" w:lineRule="auto"/>
    </w:pPr>
    <w:rPr>
      <w:rFonts w:asciiTheme="majorHAnsi" w:eastAsiaTheme="majorEastAsia" w:hAnsiTheme="majorHAnsi" w:cstheme="majorBidi"/>
      <w:i/>
      <w:iCs/>
      <w:color w:val="4F81BD" w:themeColor="accent1"/>
      <w:spacing w:val="15"/>
      <w:lang w:eastAsia="es-GT"/>
    </w:rPr>
  </w:style>
  <w:style w:type="character" w:customStyle="1" w:styleId="SubttuloCar">
    <w:name w:val="Subtítulo Car"/>
    <w:basedOn w:val="Fuentedeprrafopredeter"/>
    <w:link w:val="Subttulo"/>
    <w:uiPriority w:val="11"/>
    <w:rsid w:val="0032588B"/>
    <w:rPr>
      <w:rFonts w:asciiTheme="majorHAnsi" w:eastAsiaTheme="majorEastAsia" w:hAnsiTheme="majorHAnsi" w:cstheme="majorBidi"/>
      <w:i/>
      <w:iCs/>
      <w:color w:val="4F81BD" w:themeColor="accent1"/>
      <w:spacing w:val="15"/>
      <w:sz w:val="24"/>
      <w:szCs w:val="24"/>
      <w:lang w:eastAsia="es-GT"/>
    </w:rPr>
  </w:style>
  <w:style w:type="character" w:customStyle="1" w:styleId="Ttulo1Car">
    <w:name w:val="Título 1 Car"/>
    <w:basedOn w:val="Fuentedeprrafopredeter"/>
    <w:link w:val="Ttulo1"/>
    <w:uiPriority w:val="9"/>
    <w:rsid w:val="0032588B"/>
    <w:rPr>
      <w:rFonts w:asciiTheme="majorHAnsi" w:eastAsiaTheme="majorEastAsia" w:hAnsiTheme="majorHAnsi" w:cstheme="majorBidi"/>
      <w:b/>
      <w:bCs/>
      <w:color w:val="365F91" w:themeColor="accent1" w:themeShade="BF"/>
      <w:sz w:val="28"/>
      <w:szCs w:val="28"/>
      <w:lang w:val="es-ES_tradnl" w:eastAsia="es-ES"/>
    </w:rPr>
  </w:style>
  <w:style w:type="paragraph" w:styleId="TtuloTDC">
    <w:name w:val="TOC Heading"/>
    <w:basedOn w:val="Ttulo1"/>
    <w:next w:val="Normal"/>
    <w:uiPriority w:val="39"/>
    <w:semiHidden/>
    <w:unhideWhenUsed/>
    <w:qFormat/>
    <w:rsid w:val="0032588B"/>
    <w:pPr>
      <w:spacing w:line="276" w:lineRule="auto"/>
      <w:outlineLvl w:val="9"/>
    </w:pPr>
    <w:rPr>
      <w:lang w:eastAsia="es-GT"/>
    </w:rPr>
  </w:style>
  <w:style w:type="paragraph" w:styleId="TDC1">
    <w:name w:val="toc 1"/>
    <w:basedOn w:val="Normal"/>
    <w:next w:val="Normal"/>
    <w:autoRedefine/>
    <w:uiPriority w:val="39"/>
    <w:unhideWhenUsed/>
    <w:rsid w:val="00594050"/>
    <w:pPr>
      <w:tabs>
        <w:tab w:val="left" w:pos="440"/>
        <w:tab w:val="right" w:leader="dot" w:pos="9394"/>
      </w:tabs>
      <w:spacing w:after="100"/>
    </w:pPr>
    <w:rPr>
      <w:rFonts w:eastAsiaTheme="majorEastAsia" w:cs="Times New Roman"/>
      <w:b/>
      <w:bCs/>
      <w:noProof/>
    </w:rPr>
  </w:style>
  <w:style w:type="paragraph" w:styleId="TDC2">
    <w:name w:val="toc 2"/>
    <w:basedOn w:val="Normal"/>
    <w:next w:val="Normal"/>
    <w:autoRedefine/>
    <w:uiPriority w:val="39"/>
    <w:unhideWhenUsed/>
    <w:rsid w:val="0054409D"/>
    <w:pPr>
      <w:tabs>
        <w:tab w:val="left" w:pos="880"/>
        <w:tab w:val="right" w:leader="dot" w:pos="9356"/>
      </w:tabs>
      <w:spacing w:after="100"/>
      <w:ind w:left="709" w:hanging="567"/>
    </w:pPr>
  </w:style>
  <w:style w:type="character" w:styleId="Hipervnculo">
    <w:name w:val="Hyperlink"/>
    <w:basedOn w:val="Fuentedeprrafopredeter"/>
    <w:uiPriority w:val="99"/>
    <w:unhideWhenUsed/>
    <w:rsid w:val="0032588B"/>
    <w:rPr>
      <w:color w:val="0000FF" w:themeColor="hyperlink"/>
      <w:u w:val="single"/>
    </w:rPr>
  </w:style>
  <w:style w:type="paragraph" w:styleId="Encabezado">
    <w:name w:val="header"/>
    <w:basedOn w:val="Normal"/>
    <w:link w:val="EncabezadoCar"/>
    <w:uiPriority w:val="99"/>
    <w:unhideWhenUsed/>
    <w:rsid w:val="00AC45C7"/>
    <w:pPr>
      <w:tabs>
        <w:tab w:val="center" w:pos="4419"/>
        <w:tab w:val="right" w:pos="8838"/>
      </w:tabs>
    </w:pPr>
  </w:style>
  <w:style w:type="character" w:customStyle="1" w:styleId="EncabezadoCar">
    <w:name w:val="Encabezado Car"/>
    <w:basedOn w:val="Fuentedeprrafopredeter"/>
    <w:link w:val="Encabezado"/>
    <w:uiPriority w:val="99"/>
    <w:rsid w:val="00AC45C7"/>
    <w:rPr>
      <w:rFonts w:eastAsiaTheme="minorEastAsia"/>
      <w:sz w:val="24"/>
      <w:szCs w:val="24"/>
      <w:lang w:val="es-ES_tradnl" w:eastAsia="es-ES"/>
    </w:rPr>
  </w:style>
  <w:style w:type="paragraph" w:styleId="Piedepgina">
    <w:name w:val="footer"/>
    <w:basedOn w:val="Normal"/>
    <w:link w:val="PiedepginaCar"/>
    <w:uiPriority w:val="99"/>
    <w:unhideWhenUsed/>
    <w:rsid w:val="00AC45C7"/>
    <w:pPr>
      <w:tabs>
        <w:tab w:val="center" w:pos="4419"/>
        <w:tab w:val="right" w:pos="8838"/>
      </w:tabs>
    </w:pPr>
  </w:style>
  <w:style w:type="character" w:customStyle="1" w:styleId="PiedepginaCar">
    <w:name w:val="Pie de página Car"/>
    <w:basedOn w:val="Fuentedeprrafopredeter"/>
    <w:link w:val="Piedepgina"/>
    <w:uiPriority w:val="99"/>
    <w:rsid w:val="00AC45C7"/>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2B7931"/>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931"/>
    <w:rPr>
      <w:rFonts w:ascii="Tahoma" w:eastAsiaTheme="minorEastAsia" w:hAnsi="Tahoma" w:cs="Tahoma"/>
      <w:sz w:val="16"/>
      <w:szCs w:val="16"/>
      <w:lang w:val="es-ES_tradnl" w:eastAsia="es-ES"/>
    </w:rPr>
  </w:style>
  <w:style w:type="character" w:customStyle="1" w:styleId="Ttulo3Car">
    <w:name w:val="Título 3 Car"/>
    <w:basedOn w:val="Fuentedeprrafopredeter"/>
    <w:link w:val="Ttulo3"/>
    <w:uiPriority w:val="9"/>
    <w:semiHidden/>
    <w:rsid w:val="000C0470"/>
    <w:rPr>
      <w:rFonts w:asciiTheme="majorHAnsi" w:eastAsiaTheme="majorEastAsia" w:hAnsiTheme="majorHAnsi" w:cstheme="majorBidi"/>
      <w:color w:val="243F60" w:themeColor="accent1" w:themeShade="7F"/>
      <w:sz w:val="24"/>
      <w:szCs w:val="24"/>
      <w:lang w:val="es-ES_tradnl" w:eastAsia="es-ES"/>
    </w:rPr>
  </w:style>
  <w:style w:type="paragraph" w:customStyle="1" w:styleId="Ttulo11">
    <w:name w:val="Título 11"/>
    <w:basedOn w:val="Normal"/>
    <w:rsid w:val="000C0470"/>
    <w:pPr>
      <w:numPr>
        <w:numId w:val="23"/>
      </w:numPr>
    </w:pPr>
  </w:style>
  <w:style w:type="paragraph" w:customStyle="1" w:styleId="Ttulo21">
    <w:name w:val="Título 21"/>
    <w:basedOn w:val="Normal"/>
    <w:rsid w:val="000C0470"/>
    <w:pPr>
      <w:numPr>
        <w:ilvl w:val="1"/>
        <w:numId w:val="23"/>
      </w:numPr>
    </w:pPr>
  </w:style>
  <w:style w:type="paragraph" w:customStyle="1" w:styleId="Ttulo31">
    <w:name w:val="Título 31"/>
    <w:basedOn w:val="Normal"/>
    <w:rsid w:val="000C0470"/>
    <w:pPr>
      <w:numPr>
        <w:ilvl w:val="2"/>
        <w:numId w:val="23"/>
      </w:numPr>
    </w:pPr>
  </w:style>
  <w:style w:type="paragraph" w:customStyle="1" w:styleId="Ttulo41">
    <w:name w:val="Título 41"/>
    <w:basedOn w:val="Normal"/>
    <w:rsid w:val="000C0470"/>
    <w:pPr>
      <w:numPr>
        <w:ilvl w:val="3"/>
        <w:numId w:val="23"/>
      </w:numPr>
    </w:pPr>
  </w:style>
  <w:style w:type="paragraph" w:customStyle="1" w:styleId="Ttulo51">
    <w:name w:val="Título 51"/>
    <w:basedOn w:val="Normal"/>
    <w:rsid w:val="000C0470"/>
    <w:pPr>
      <w:numPr>
        <w:ilvl w:val="4"/>
        <w:numId w:val="23"/>
      </w:numPr>
    </w:pPr>
  </w:style>
  <w:style w:type="paragraph" w:customStyle="1" w:styleId="Ttulo61">
    <w:name w:val="Título 61"/>
    <w:basedOn w:val="Normal"/>
    <w:rsid w:val="000C0470"/>
    <w:pPr>
      <w:numPr>
        <w:ilvl w:val="5"/>
        <w:numId w:val="23"/>
      </w:numPr>
    </w:pPr>
  </w:style>
  <w:style w:type="paragraph" w:customStyle="1" w:styleId="Ttulo71">
    <w:name w:val="Título 71"/>
    <w:basedOn w:val="Normal"/>
    <w:rsid w:val="000C0470"/>
    <w:pPr>
      <w:numPr>
        <w:ilvl w:val="6"/>
        <w:numId w:val="23"/>
      </w:numPr>
    </w:pPr>
  </w:style>
  <w:style w:type="paragraph" w:customStyle="1" w:styleId="Ttulo81">
    <w:name w:val="Título 81"/>
    <w:basedOn w:val="Normal"/>
    <w:rsid w:val="000C0470"/>
    <w:pPr>
      <w:numPr>
        <w:ilvl w:val="7"/>
        <w:numId w:val="23"/>
      </w:numPr>
    </w:pPr>
  </w:style>
  <w:style w:type="paragraph" w:customStyle="1" w:styleId="Ttulo91">
    <w:name w:val="Título 91"/>
    <w:basedOn w:val="Normal"/>
    <w:rsid w:val="000C0470"/>
    <w:pPr>
      <w:numPr>
        <w:ilvl w:val="8"/>
        <w:numId w:val="23"/>
      </w:numPr>
    </w:pPr>
  </w:style>
  <w:style w:type="paragraph" w:styleId="TDC3">
    <w:name w:val="toc 3"/>
    <w:basedOn w:val="Normal"/>
    <w:next w:val="Normal"/>
    <w:autoRedefine/>
    <w:uiPriority w:val="39"/>
    <w:unhideWhenUsed/>
    <w:rsid w:val="0054409D"/>
    <w:pPr>
      <w:tabs>
        <w:tab w:val="left" w:pos="1134"/>
        <w:tab w:val="right" w:leader="dot" w:pos="9394"/>
      </w:tabs>
      <w:spacing w:after="100"/>
      <w:ind w:left="1134" w:hanging="708"/>
    </w:pPr>
  </w:style>
  <w:style w:type="paragraph" w:customStyle="1" w:styleId="BodyText2Sgl">
    <w:name w:val="Body Text 2 Sgl"/>
    <w:basedOn w:val="Normal"/>
    <w:qFormat/>
    <w:rsid w:val="00EE52DF"/>
    <w:pPr>
      <w:spacing w:after="240"/>
      <w:ind w:firstLine="720"/>
    </w:pPr>
    <w:rPr>
      <w:rFonts w:eastAsiaTheme="minorHAnsi"/>
      <w:sz w:val="20"/>
      <w:lang w:val="en-US" w:eastAsia="en-US"/>
    </w:rPr>
  </w:style>
  <w:style w:type="paragraph" w:styleId="Textoindependiente">
    <w:name w:val="Body Text"/>
    <w:basedOn w:val="Normal"/>
    <w:link w:val="TextoindependienteCar"/>
    <w:uiPriority w:val="99"/>
    <w:unhideWhenUsed/>
    <w:rsid w:val="00EE52DF"/>
    <w:pPr>
      <w:spacing w:after="120" w:line="259" w:lineRule="auto"/>
    </w:pPr>
    <w:rPr>
      <w:rFonts w:eastAsiaTheme="minorHAnsi"/>
      <w:szCs w:val="22"/>
      <w:lang w:eastAsia="en-US"/>
    </w:rPr>
  </w:style>
  <w:style w:type="character" w:customStyle="1" w:styleId="TextoindependienteCar">
    <w:name w:val="Texto independiente Car"/>
    <w:basedOn w:val="Fuentedeprrafopredeter"/>
    <w:link w:val="Textoindependiente"/>
    <w:uiPriority w:val="99"/>
    <w:rsid w:val="00EE52DF"/>
  </w:style>
  <w:style w:type="character" w:styleId="Refdecomentario">
    <w:name w:val="annotation reference"/>
    <w:basedOn w:val="Fuentedeprrafopredeter"/>
    <w:uiPriority w:val="99"/>
    <w:semiHidden/>
    <w:unhideWhenUsed/>
    <w:rsid w:val="00082E65"/>
    <w:rPr>
      <w:sz w:val="16"/>
      <w:szCs w:val="16"/>
    </w:rPr>
  </w:style>
  <w:style w:type="paragraph" w:styleId="Textocomentario">
    <w:name w:val="annotation text"/>
    <w:basedOn w:val="Normal"/>
    <w:link w:val="TextocomentarioCar"/>
    <w:uiPriority w:val="99"/>
    <w:semiHidden/>
    <w:unhideWhenUsed/>
    <w:rsid w:val="00082E65"/>
    <w:rPr>
      <w:sz w:val="20"/>
      <w:szCs w:val="20"/>
    </w:rPr>
  </w:style>
  <w:style w:type="character" w:customStyle="1" w:styleId="TextocomentarioCar">
    <w:name w:val="Texto comentario Car"/>
    <w:basedOn w:val="Fuentedeprrafopredeter"/>
    <w:link w:val="Textocomentario"/>
    <w:uiPriority w:val="99"/>
    <w:semiHidden/>
    <w:rsid w:val="00082E65"/>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082E65"/>
    <w:rPr>
      <w:b/>
      <w:bCs/>
    </w:rPr>
  </w:style>
  <w:style w:type="character" w:customStyle="1" w:styleId="AsuntodelcomentarioCar">
    <w:name w:val="Asunto del comentario Car"/>
    <w:basedOn w:val="TextocomentarioCar"/>
    <w:link w:val="Asuntodelcomentario"/>
    <w:uiPriority w:val="99"/>
    <w:semiHidden/>
    <w:rsid w:val="00082E65"/>
    <w:rPr>
      <w:rFonts w:eastAsiaTheme="minorEastAsia"/>
      <w:b/>
      <w:bCs/>
      <w:sz w:val="20"/>
      <w:szCs w:val="20"/>
      <w:lang w:val="es-ES_tradnl" w:eastAsia="es-ES"/>
    </w:rPr>
  </w:style>
  <w:style w:type="paragraph" w:styleId="Revisin">
    <w:name w:val="Revision"/>
    <w:hidden/>
    <w:uiPriority w:val="99"/>
    <w:semiHidden/>
    <w:rsid w:val="0054409D"/>
    <w:pPr>
      <w:spacing w:after="0" w:line="240" w:lineRule="auto"/>
    </w:pPr>
    <w:rPr>
      <w:rFonts w:eastAsiaTheme="minorEastAsia"/>
      <w:sz w:val="24"/>
      <w:szCs w:val="24"/>
      <w:lang w:val="es-ES_tradnl" w:eastAsia="es-ES"/>
    </w:rPr>
  </w:style>
  <w:style w:type="table" w:styleId="Tablanormal3">
    <w:name w:val="Plain Table 3"/>
    <w:basedOn w:val="Tablanormal"/>
    <w:uiPriority w:val="43"/>
    <w:rsid w:val="00FD317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7concolores-nfasis1">
    <w:name w:val="List Table 7 Colorful Accent 1"/>
    <w:basedOn w:val="Tablanormal"/>
    <w:uiPriority w:val="52"/>
    <w:rsid w:val="00FD3179"/>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9B0F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8699">
      <w:bodyDiv w:val="1"/>
      <w:marLeft w:val="0"/>
      <w:marRight w:val="0"/>
      <w:marTop w:val="0"/>
      <w:marBottom w:val="0"/>
      <w:divBdr>
        <w:top w:val="none" w:sz="0" w:space="0" w:color="auto"/>
        <w:left w:val="none" w:sz="0" w:space="0" w:color="auto"/>
        <w:bottom w:val="none" w:sz="0" w:space="0" w:color="auto"/>
        <w:right w:val="none" w:sz="0" w:space="0" w:color="auto"/>
      </w:divBdr>
    </w:div>
    <w:div w:id="65929884">
      <w:bodyDiv w:val="1"/>
      <w:marLeft w:val="0"/>
      <w:marRight w:val="0"/>
      <w:marTop w:val="0"/>
      <w:marBottom w:val="0"/>
      <w:divBdr>
        <w:top w:val="none" w:sz="0" w:space="0" w:color="auto"/>
        <w:left w:val="none" w:sz="0" w:space="0" w:color="auto"/>
        <w:bottom w:val="none" w:sz="0" w:space="0" w:color="auto"/>
        <w:right w:val="none" w:sz="0" w:space="0" w:color="auto"/>
      </w:divBdr>
    </w:div>
    <w:div w:id="206840615">
      <w:bodyDiv w:val="1"/>
      <w:marLeft w:val="0"/>
      <w:marRight w:val="0"/>
      <w:marTop w:val="0"/>
      <w:marBottom w:val="0"/>
      <w:divBdr>
        <w:top w:val="none" w:sz="0" w:space="0" w:color="auto"/>
        <w:left w:val="none" w:sz="0" w:space="0" w:color="auto"/>
        <w:bottom w:val="none" w:sz="0" w:space="0" w:color="auto"/>
        <w:right w:val="none" w:sz="0" w:space="0" w:color="auto"/>
      </w:divBdr>
    </w:div>
    <w:div w:id="208031668">
      <w:bodyDiv w:val="1"/>
      <w:marLeft w:val="0"/>
      <w:marRight w:val="0"/>
      <w:marTop w:val="0"/>
      <w:marBottom w:val="0"/>
      <w:divBdr>
        <w:top w:val="none" w:sz="0" w:space="0" w:color="auto"/>
        <w:left w:val="none" w:sz="0" w:space="0" w:color="auto"/>
        <w:bottom w:val="none" w:sz="0" w:space="0" w:color="auto"/>
        <w:right w:val="none" w:sz="0" w:space="0" w:color="auto"/>
      </w:divBdr>
    </w:div>
    <w:div w:id="281689898">
      <w:bodyDiv w:val="1"/>
      <w:marLeft w:val="0"/>
      <w:marRight w:val="0"/>
      <w:marTop w:val="0"/>
      <w:marBottom w:val="0"/>
      <w:divBdr>
        <w:top w:val="none" w:sz="0" w:space="0" w:color="auto"/>
        <w:left w:val="none" w:sz="0" w:space="0" w:color="auto"/>
        <w:bottom w:val="none" w:sz="0" w:space="0" w:color="auto"/>
        <w:right w:val="none" w:sz="0" w:space="0" w:color="auto"/>
      </w:divBdr>
    </w:div>
    <w:div w:id="289480549">
      <w:bodyDiv w:val="1"/>
      <w:marLeft w:val="0"/>
      <w:marRight w:val="0"/>
      <w:marTop w:val="0"/>
      <w:marBottom w:val="0"/>
      <w:divBdr>
        <w:top w:val="none" w:sz="0" w:space="0" w:color="auto"/>
        <w:left w:val="none" w:sz="0" w:space="0" w:color="auto"/>
        <w:bottom w:val="none" w:sz="0" w:space="0" w:color="auto"/>
        <w:right w:val="none" w:sz="0" w:space="0" w:color="auto"/>
      </w:divBdr>
    </w:div>
    <w:div w:id="352264132">
      <w:bodyDiv w:val="1"/>
      <w:marLeft w:val="0"/>
      <w:marRight w:val="0"/>
      <w:marTop w:val="0"/>
      <w:marBottom w:val="0"/>
      <w:divBdr>
        <w:top w:val="none" w:sz="0" w:space="0" w:color="auto"/>
        <w:left w:val="none" w:sz="0" w:space="0" w:color="auto"/>
        <w:bottom w:val="none" w:sz="0" w:space="0" w:color="auto"/>
        <w:right w:val="none" w:sz="0" w:space="0" w:color="auto"/>
      </w:divBdr>
    </w:div>
    <w:div w:id="447234801">
      <w:bodyDiv w:val="1"/>
      <w:marLeft w:val="0"/>
      <w:marRight w:val="0"/>
      <w:marTop w:val="0"/>
      <w:marBottom w:val="0"/>
      <w:divBdr>
        <w:top w:val="none" w:sz="0" w:space="0" w:color="auto"/>
        <w:left w:val="none" w:sz="0" w:space="0" w:color="auto"/>
        <w:bottom w:val="none" w:sz="0" w:space="0" w:color="auto"/>
        <w:right w:val="none" w:sz="0" w:space="0" w:color="auto"/>
      </w:divBdr>
    </w:div>
    <w:div w:id="447435137">
      <w:bodyDiv w:val="1"/>
      <w:marLeft w:val="0"/>
      <w:marRight w:val="0"/>
      <w:marTop w:val="0"/>
      <w:marBottom w:val="0"/>
      <w:divBdr>
        <w:top w:val="none" w:sz="0" w:space="0" w:color="auto"/>
        <w:left w:val="none" w:sz="0" w:space="0" w:color="auto"/>
        <w:bottom w:val="none" w:sz="0" w:space="0" w:color="auto"/>
        <w:right w:val="none" w:sz="0" w:space="0" w:color="auto"/>
      </w:divBdr>
    </w:div>
    <w:div w:id="452797015">
      <w:bodyDiv w:val="1"/>
      <w:marLeft w:val="0"/>
      <w:marRight w:val="0"/>
      <w:marTop w:val="0"/>
      <w:marBottom w:val="0"/>
      <w:divBdr>
        <w:top w:val="none" w:sz="0" w:space="0" w:color="auto"/>
        <w:left w:val="none" w:sz="0" w:space="0" w:color="auto"/>
        <w:bottom w:val="none" w:sz="0" w:space="0" w:color="auto"/>
        <w:right w:val="none" w:sz="0" w:space="0" w:color="auto"/>
      </w:divBdr>
    </w:div>
    <w:div w:id="486481220">
      <w:bodyDiv w:val="1"/>
      <w:marLeft w:val="0"/>
      <w:marRight w:val="0"/>
      <w:marTop w:val="0"/>
      <w:marBottom w:val="0"/>
      <w:divBdr>
        <w:top w:val="none" w:sz="0" w:space="0" w:color="auto"/>
        <w:left w:val="none" w:sz="0" w:space="0" w:color="auto"/>
        <w:bottom w:val="none" w:sz="0" w:space="0" w:color="auto"/>
        <w:right w:val="none" w:sz="0" w:space="0" w:color="auto"/>
      </w:divBdr>
    </w:div>
    <w:div w:id="493037860">
      <w:bodyDiv w:val="1"/>
      <w:marLeft w:val="0"/>
      <w:marRight w:val="0"/>
      <w:marTop w:val="0"/>
      <w:marBottom w:val="0"/>
      <w:divBdr>
        <w:top w:val="none" w:sz="0" w:space="0" w:color="auto"/>
        <w:left w:val="none" w:sz="0" w:space="0" w:color="auto"/>
        <w:bottom w:val="none" w:sz="0" w:space="0" w:color="auto"/>
        <w:right w:val="none" w:sz="0" w:space="0" w:color="auto"/>
      </w:divBdr>
    </w:div>
    <w:div w:id="551356417">
      <w:bodyDiv w:val="1"/>
      <w:marLeft w:val="0"/>
      <w:marRight w:val="0"/>
      <w:marTop w:val="0"/>
      <w:marBottom w:val="0"/>
      <w:divBdr>
        <w:top w:val="none" w:sz="0" w:space="0" w:color="auto"/>
        <w:left w:val="none" w:sz="0" w:space="0" w:color="auto"/>
        <w:bottom w:val="none" w:sz="0" w:space="0" w:color="auto"/>
        <w:right w:val="none" w:sz="0" w:space="0" w:color="auto"/>
      </w:divBdr>
    </w:div>
    <w:div w:id="641885873">
      <w:bodyDiv w:val="1"/>
      <w:marLeft w:val="0"/>
      <w:marRight w:val="0"/>
      <w:marTop w:val="0"/>
      <w:marBottom w:val="0"/>
      <w:divBdr>
        <w:top w:val="none" w:sz="0" w:space="0" w:color="auto"/>
        <w:left w:val="none" w:sz="0" w:space="0" w:color="auto"/>
        <w:bottom w:val="none" w:sz="0" w:space="0" w:color="auto"/>
        <w:right w:val="none" w:sz="0" w:space="0" w:color="auto"/>
      </w:divBdr>
    </w:div>
    <w:div w:id="672680472">
      <w:bodyDiv w:val="1"/>
      <w:marLeft w:val="0"/>
      <w:marRight w:val="0"/>
      <w:marTop w:val="0"/>
      <w:marBottom w:val="0"/>
      <w:divBdr>
        <w:top w:val="none" w:sz="0" w:space="0" w:color="auto"/>
        <w:left w:val="none" w:sz="0" w:space="0" w:color="auto"/>
        <w:bottom w:val="none" w:sz="0" w:space="0" w:color="auto"/>
        <w:right w:val="none" w:sz="0" w:space="0" w:color="auto"/>
      </w:divBdr>
    </w:div>
    <w:div w:id="694312612">
      <w:bodyDiv w:val="1"/>
      <w:marLeft w:val="0"/>
      <w:marRight w:val="0"/>
      <w:marTop w:val="0"/>
      <w:marBottom w:val="0"/>
      <w:divBdr>
        <w:top w:val="none" w:sz="0" w:space="0" w:color="auto"/>
        <w:left w:val="none" w:sz="0" w:space="0" w:color="auto"/>
        <w:bottom w:val="none" w:sz="0" w:space="0" w:color="auto"/>
        <w:right w:val="none" w:sz="0" w:space="0" w:color="auto"/>
      </w:divBdr>
    </w:div>
    <w:div w:id="711147682">
      <w:bodyDiv w:val="1"/>
      <w:marLeft w:val="0"/>
      <w:marRight w:val="0"/>
      <w:marTop w:val="0"/>
      <w:marBottom w:val="0"/>
      <w:divBdr>
        <w:top w:val="none" w:sz="0" w:space="0" w:color="auto"/>
        <w:left w:val="none" w:sz="0" w:space="0" w:color="auto"/>
        <w:bottom w:val="none" w:sz="0" w:space="0" w:color="auto"/>
        <w:right w:val="none" w:sz="0" w:space="0" w:color="auto"/>
      </w:divBdr>
    </w:div>
    <w:div w:id="767505616">
      <w:bodyDiv w:val="1"/>
      <w:marLeft w:val="0"/>
      <w:marRight w:val="0"/>
      <w:marTop w:val="0"/>
      <w:marBottom w:val="0"/>
      <w:divBdr>
        <w:top w:val="none" w:sz="0" w:space="0" w:color="auto"/>
        <w:left w:val="none" w:sz="0" w:space="0" w:color="auto"/>
        <w:bottom w:val="none" w:sz="0" w:space="0" w:color="auto"/>
        <w:right w:val="none" w:sz="0" w:space="0" w:color="auto"/>
      </w:divBdr>
    </w:div>
    <w:div w:id="768620205">
      <w:bodyDiv w:val="1"/>
      <w:marLeft w:val="0"/>
      <w:marRight w:val="0"/>
      <w:marTop w:val="0"/>
      <w:marBottom w:val="0"/>
      <w:divBdr>
        <w:top w:val="none" w:sz="0" w:space="0" w:color="auto"/>
        <w:left w:val="none" w:sz="0" w:space="0" w:color="auto"/>
        <w:bottom w:val="none" w:sz="0" w:space="0" w:color="auto"/>
        <w:right w:val="none" w:sz="0" w:space="0" w:color="auto"/>
      </w:divBdr>
    </w:div>
    <w:div w:id="773591794">
      <w:bodyDiv w:val="1"/>
      <w:marLeft w:val="0"/>
      <w:marRight w:val="0"/>
      <w:marTop w:val="0"/>
      <w:marBottom w:val="0"/>
      <w:divBdr>
        <w:top w:val="none" w:sz="0" w:space="0" w:color="auto"/>
        <w:left w:val="none" w:sz="0" w:space="0" w:color="auto"/>
        <w:bottom w:val="none" w:sz="0" w:space="0" w:color="auto"/>
        <w:right w:val="none" w:sz="0" w:space="0" w:color="auto"/>
      </w:divBdr>
    </w:div>
    <w:div w:id="777871340">
      <w:bodyDiv w:val="1"/>
      <w:marLeft w:val="0"/>
      <w:marRight w:val="0"/>
      <w:marTop w:val="0"/>
      <w:marBottom w:val="0"/>
      <w:divBdr>
        <w:top w:val="none" w:sz="0" w:space="0" w:color="auto"/>
        <w:left w:val="none" w:sz="0" w:space="0" w:color="auto"/>
        <w:bottom w:val="none" w:sz="0" w:space="0" w:color="auto"/>
        <w:right w:val="none" w:sz="0" w:space="0" w:color="auto"/>
      </w:divBdr>
    </w:div>
    <w:div w:id="800881172">
      <w:bodyDiv w:val="1"/>
      <w:marLeft w:val="0"/>
      <w:marRight w:val="0"/>
      <w:marTop w:val="0"/>
      <w:marBottom w:val="0"/>
      <w:divBdr>
        <w:top w:val="none" w:sz="0" w:space="0" w:color="auto"/>
        <w:left w:val="none" w:sz="0" w:space="0" w:color="auto"/>
        <w:bottom w:val="none" w:sz="0" w:space="0" w:color="auto"/>
        <w:right w:val="none" w:sz="0" w:space="0" w:color="auto"/>
      </w:divBdr>
    </w:div>
    <w:div w:id="856696186">
      <w:bodyDiv w:val="1"/>
      <w:marLeft w:val="0"/>
      <w:marRight w:val="0"/>
      <w:marTop w:val="0"/>
      <w:marBottom w:val="0"/>
      <w:divBdr>
        <w:top w:val="none" w:sz="0" w:space="0" w:color="auto"/>
        <w:left w:val="none" w:sz="0" w:space="0" w:color="auto"/>
        <w:bottom w:val="none" w:sz="0" w:space="0" w:color="auto"/>
        <w:right w:val="none" w:sz="0" w:space="0" w:color="auto"/>
      </w:divBdr>
    </w:div>
    <w:div w:id="887453560">
      <w:bodyDiv w:val="1"/>
      <w:marLeft w:val="0"/>
      <w:marRight w:val="0"/>
      <w:marTop w:val="0"/>
      <w:marBottom w:val="0"/>
      <w:divBdr>
        <w:top w:val="none" w:sz="0" w:space="0" w:color="auto"/>
        <w:left w:val="none" w:sz="0" w:space="0" w:color="auto"/>
        <w:bottom w:val="none" w:sz="0" w:space="0" w:color="auto"/>
        <w:right w:val="none" w:sz="0" w:space="0" w:color="auto"/>
      </w:divBdr>
    </w:div>
    <w:div w:id="893740511">
      <w:bodyDiv w:val="1"/>
      <w:marLeft w:val="0"/>
      <w:marRight w:val="0"/>
      <w:marTop w:val="0"/>
      <w:marBottom w:val="0"/>
      <w:divBdr>
        <w:top w:val="none" w:sz="0" w:space="0" w:color="auto"/>
        <w:left w:val="none" w:sz="0" w:space="0" w:color="auto"/>
        <w:bottom w:val="none" w:sz="0" w:space="0" w:color="auto"/>
        <w:right w:val="none" w:sz="0" w:space="0" w:color="auto"/>
      </w:divBdr>
    </w:div>
    <w:div w:id="936333511">
      <w:bodyDiv w:val="1"/>
      <w:marLeft w:val="0"/>
      <w:marRight w:val="0"/>
      <w:marTop w:val="0"/>
      <w:marBottom w:val="0"/>
      <w:divBdr>
        <w:top w:val="none" w:sz="0" w:space="0" w:color="auto"/>
        <w:left w:val="none" w:sz="0" w:space="0" w:color="auto"/>
        <w:bottom w:val="none" w:sz="0" w:space="0" w:color="auto"/>
        <w:right w:val="none" w:sz="0" w:space="0" w:color="auto"/>
      </w:divBdr>
    </w:div>
    <w:div w:id="1026370517">
      <w:bodyDiv w:val="1"/>
      <w:marLeft w:val="0"/>
      <w:marRight w:val="0"/>
      <w:marTop w:val="0"/>
      <w:marBottom w:val="0"/>
      <w:divBdr>
        <w:top w:val="none" w:sz="0" w:space="0" w:color="auto"/>
        <w:left w:val="none" w:sz="0" w:space="0" w:color="auto"/>
        <w:bottom w:val="none" w:sz="0" w:space="0" w:color="auto"/>
        <w:right w:val="none" w:sz="0" w:space="0" w:color="auto"/>
      </w:divBdr>
    </w:div>
    <w:div w:id="1036812108">
      <w:bodyDiv w:val="1"/>
      <w:marLeft w:val="0"/>
      <w:marRight w:val="0"/>
      <w:marTop w:val="0"/>
      <w:marBottom w:val="0"/>
      <w:divBdr>
        <w:top w:val="none" w:sz="0" w:space="0" w:color="auto"/>
        <w:left w:val="none" w:sz="0" w:space="0" w:color="auto"/>
        <w:bottom w:val="none" w:sz="0" w:space="0" w:color="auto"/>
        <w:right w:val="none" w:sz="0" w:space="0" w:color="auto"/>
      </w:divBdr>
    </w:div>
    <w:div w:id="1118334656">
      <w:bodyDiv w:val="1"/>
      <w:marLeft w:val="0"/>
      <w:marRight w:val="0"/>
      <w:marTop w:val="0"/>
      <w:marBottom w:val="0"/>
      <w:divBdr>
        <w:top w:val="none" w:sz="0" w:space="0" w:color="auto"/>
        <w:left w:val="none" w:sz="0" w:space="0" w:color="auto"/>
        <w:bottom w:val="none" w:sz="0" w:space="0" w:color="auto"/>
        <w:right w:val="none" w:sz="0" w:space="0" w:color="auto"/>
      </w:divBdr>
    </w:div>
    <w:div w:id="1148786281">
      <w:bodyDiv w:val="1"/>
      <w:marLeft w:val="0"/>
      <w:marRight w:val="0"/>
      <w:marTop w:val="0"/>
      <w:marBottom w:val="0"/>
      <w:divBdr>
        <w:top w:val="none" w:sz="0" w:space="0" w:color="auto"/>
        <w:left w:val="none" w:sz="0" w:space="0" w:color="auto"/>
        <w:bottom w:val="none" w:sz="0" w:space="0" w:color="auto"/>
        <w:right w:val="none" w:sz="0" w:space="0" w:color="auto"/>
      </w:divBdr>
    </w:div>
    <w:div w:id="1192300847">
      <w:bodyDiv w:val="1"/>
      <w:marLeft w:val="0"/>
      <w:marRight w:val="0"/>
      <w:marTop w:val="0"/>
      <w:marBottom w:val="0"/>
      <w:divBdr>
        <w:top w:val="none" w:sz="0" w:space="0" w:color="auto"/>
        <w:left w:val="none" w:sz="0" w:space="0" w:color="auto"/>
        <w:bottom w:val="none" w:sz="0" w:space="0" w:color="auto"/>
        <w:right w:val="none" w:sz="0" w:space="0" w:color="auto"/>
      </w:divBdr>
    </w:div>
    <w:div w:id="1209881365">
      <w:bodyDiv w:val="1"/>
      <w:marLeft w:val="0"/>
      <w:marRight w:val="0"/>
      <w:marTop w:val="0"/>
      <w:marBottom w:val="0"/>
      <w:divBdr>
        <w:top w:val="none" w:sz="0" w:space="0" w:color="auto"/>
        <w:left w:val="none" w:sz="0" w:space="0" w:color="auto"/>
        <w:bottom w:val="none" w:sz="0" w:space="0" w:color="auto"/>
        <w:right w:val="none" w:sz="0" w:space="0" w:color="auto"/>
      </w:divBdr>
    </w:div>
    <w:div w:id="1211458198">
      <w:bodyDiv w:val="1"/>
      <w:marLeft w:val="0"/>
      <w:marRight w:val="0"/>
      <w:marTop w:val="0"/>
      <w:marBottom w:val="0"/>
      <w:divBdr>
        <w:top w:val="none" w:sz="0" w:space="0" w:color="auto"/>
        <w:left w:val="none" w:sz="0" w:space="0" w:color="auto"/>
        <w:bottom w:val="none" w:sz="0" w:space="0" w:color="auto"/>
        <w:right w:val="none" w:sz="0" w:space="0" w:color="auto"/>
      </w:divBdr>
    </w:div>
    <w:div w:id="1366055376">
      <w:bodyDiv w:val="1"/>
      <w:marLeft w:val="0"/>
      <w:marRight w:val="0"/>
      <w:marTop w:val="0"/>
      <w:marBottom w:val="0"/>
      <w:divBdr>
        <w:top w:val="none" w:sz="0" w:space="0" w:color="auto"/>
        <w:left w:val="none" w:sz="0" w:space="0" w:color="auto"/>
        <w:bottom w:val="none" w:sz="0" w:space="0" w:color="auto"/>
        <w:right w:val="none" w:sz="0" w:space="0" w:color="auto"/>
      </w:divBdr>
    </w:div>
    <w:div w:id="1388143364">
      <w:bodyDiv w:val="1"/>
      <w:marLeft w:val="0"/>
      <w:marRight w:val="0"/>
      <w:marTop w:val="0"/>
      <w:marBottom w:val="0"/>
      <w:divBdr>
        <w:top w:val="none" w:sz="0" w:space="0" w:color="auto"/>
        <w:left w:val="none" w:sz="0" w:space="0" w:color="auto"/>
        <w:bottom w:val="none" w:sz="0" w:space="0" w:color="auto"/>
        <w:right w:val="none" w:sz="0" w:space="0" w:color="auto"/>
      </w:divBdr>
    </w:div>
    <w:div w:id="1452939949">
      <w:bodyDiv w:val="1"/>
      <w:marLeft w:val="0"/>
      <w:marRight w:val="0"/>
      <w:marTop w:val="0"/>
      <w:marBottom w:val="0"/>
      <w:divBdr>
        <w:top w:val="none" w:sz="0" w:space="0" w:color="auto"/>
        <w:left w:val="none" w:sz="0" w:space="0" w:color="auto"/>
        <w:bottom w:val="none" w:sz="0" w:space="0" w:color="auto"/>
        <w:right w:val="none" w:sz="0" w:space="0" w:color="auto"/>
      </w:divBdr>
    </w:div>
    <w:div w:id="1569417460">
      <w:bodyDiv w:val="1"/>
      <w:marLeft w:val="0"/>
      <w:marRight w:val="0"/>
      <w:marTop w:val="0"/>
      <w:marBottom w:val="0"/>
      <w:divBdr>
        <w:top w:val="none" w:sz="0" w:space="0" w:color="auto"/>
        <w:left w:val="none" w:sz="0" w:space="0" w:color="auto"/>
        <w:bottom w:val="none" w:sz="0" w:space="0" w:color="auto"/>
        <w:right w:val="none" w:sz="0" w:space="0" w:color="auto"/>
      </w:divBdr>
    </w:div>
    <w:div w:id="1731222267">
      <w:bodyDiv w:val="1"/>
      <w:marLeft w:val="0"/>
      <w:marRight w:val="0"/>
      <w:marTop w:val="0"/>
      <w:marBottom w:val="0"/>
      <w:divBdr>
        <w:top w:val="none" w:sz="0" w:space="0" w:color="auto"/>
        <w:left w:val="none" w:sz="0" w:space="0" w:color="auto"/>
        <w:bottom w:val="none" w:sz="0" w:space="0" w:color="auto"/>
        <w:right w:val="none" w:sz="0" w:space="0" w:color="auto"/>
      </w:divBdr>
    </w:div>
    <w:div w:id="1790857938">
      <w:bodyDiv w:val="1"/>
      <w:marLeft w:val="0"/>
      <w:marRight w:val="0"/>
      <w:marTop w:val="0"/>
      <w:marBottom w:val="0"/>
      <w:divBdr>
        <w:top w:val="none" w:sz="0" w:space="0" w:color="auto"/>
        <w:left w:val="none" w:sz="0" w:space="0" w:color="auto"/>
        <w:bottom w:val="none" w:sz="0" w:space="0" w:color="auto"/>
        <w:right w:val="none" w:sz="0" w:space="0" w:color="auto"/>
      </w:divBdr>
      <w:divsChild>
        <w:div w:id="891186904">
          <w:marLeft w:val="547"/>
          <w:marRight w:val="0"/>
          <w:marTop w:val="0"/>
          <w:marBottom w:val="0"/>
          <w:divBdr>
            <w:top w:val="none" w:sz="0" w:space="0" w:color="auto"/>
            <w:left w:val="none" w:sz="0" w:space="0" w:color="auto"/>
            <w:bottom w:val="none" w:sz="0" w:space="0" w:color="auto"/>
            <w:right w:val="none" w:sz="0" w:space="0" w:color="auto"/>
          </w:divBdr>
        </w:div>
      </w:divsChild>
    </w:div>
    <w:div w:id="1834835104">
      <w:bodyDiv w:val="1"/>
      <w:marLeft w:val="0"/>
      <w:marRight w:val="0"/>
      <w:marTop w:val="0"/>
      <w:marBottom w:val="0"/>
      <w:divBdr>
        <w:top w:val="none" w:sz="0" w:space="0" w:color="auto"/>
        <w:left w:val="none" w:sz="0" w:space="0" w:color="auto"/>
        <w:bottom w:val="none" w:sz="0" w:space="0" w:color="auto"/>
        <w:right w:val="none" w:sz="0" w:space="0" w:color="auto"/>
      </w:divBdr>
    </w:div>
    <w:div w:id="1874077858">
      <w:bodyDiv w:val="1"/>
      <w:marLeft w:val="0"/>
      <w:marRight w:val="0"/>
      <w:marTop w:val="0"/>
      <w:marBottom w:val="0"/>
      <w:divBdr>
        <w:top w:val="none" w:sz="0" w:space="0" w:color="auto"/>
        <w:left w:val="none" w:sz="0" w:space="0" w:color="auto"/>
        <w:bottom w:val="none" w:sz="0" w:space="0" w:color="auto"/>
        <w:right w:val="none" w:sz="0" w:space="0" w:color="auto"/>
      </w:divBdr>
    </w:div>
    <w:div w:id="1905945296">
      <w:bodyDiv w:val="1"/>
      <w:marLeft w:val="0"/>
      <w:marRight w:val="0"/>
      <w:marTop w:val="0"/>
      <w:marBottom w:val="0"/>
      <w:divBdr>
        <w:top w:val="none" w:sz="0" w:space="0" w:color="auto"/>
        <w:left w:val="none" w:sz="0" w:space="0" w:color="auto"/>
        <w:bottom w:val="none" w:sz="0" w:space="0" w:color="auto"/>
        <w:right w:val="none" w:sz="0" w:space="0" w:color="auto"/>
      </w:divBdr>
    </w:div>
    <w:div w:id="1940335299">
      <w:bodyDiv w:val="1"/>
      <w:marLeft w:val="0"/>
      <w:marRight w:val="0"/>
      <w:marTop w:val="0"/>
      <w:marBottom w:val="0"/>
      <w:divBdr>
        <w:top w:val="none" w:sz="0" w:space="0" w:color="auto"/>
        <w:left w:val="none" w:sz="0" w:space="0" w:color="auto"/>
        <w:bottom w:val="none" w:sz="0" w:space="0" w:color="auto"/>
        <w:right w:val="none" w:sz="0" w:space="0" w:color="auto"/>
      </w:divBdr>
    </w:div>
    <w:div w:id="2031370925">
      <w:bodyDiv w:val="1"/>
      <w:marLeft w:val="0"/>
      <w:marRight w:val="0"/>
      <w:marTop w:val="0"/>
      <w:marBottom w:val="0"/>
      <w:divBdr>
        <w:top w:val="none" w:sz="0" w:space="0" w:color="auto"/>
        <w:left w:val="none" w:sz="0" w:space="0" w:color="auto"/>
        <w:bottom w:val="none" w:sz="0" w:space="0" w:color="auto"/>
        <w:right w:val="none" w:sz="0" w:space="0" w:color="auto"/>
      </w:divBdr>
    </w:div>
    <w:div w:id="2063139057">
      <w:bodyDiv w:val="1"/>
      <w:marLeft w:val="0"/>
      <w:marRight w:val="0"/>
      <w:marTop w:val="0"/>
      <w:marBottom w:val="0"/>
      <w:divBdr>
        <w:top w:val="none" w:sz="0" w:space="0" w:color="auto"/>
        <w:left w:val="none" w:sz="0" w:space="0" w:color="auto"/>
        <w:bottom w:val="none" w:sz="0" w:space="0" w:color="auto"/>
        <w:right w:val="none" w:sz="0" w:space="0" w:color="auto"/>
      </w:divBdr>
    </w:div>
    <w:div w:id="2132359836">
      <w:bodyDiv w:val="1"/>
      <w:marLeft w:val="0"/>
      <w:marRight w:val="0"/>
      <w:marTop w:val="0"/>
      <w:marBottom w:val="0"/>
      <w:divBdr>
        <w:top w:val="none" w:sz="0" w:space="0" w:color="auto"/>
        <w:left w:val="none" w:sz="0" w:space="0" w:color="auto"/>
        <w:bottom w:val="none" w:sz="0" w:space="0" w:color="auto"/>
        <w:right w:val="none" w:sz="0" w:space="0" w:color="auto"/>
      </w:divBdr>
    </w:div>
    <w:div w:id="2141847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Layout" Target="diagrams/layout2.xml"/><Relationship Id="rId26" Type="http://schemas.openxmlformats.org/officeDocument/2006/relationships/chart" Target="charts/chart4.xml"/><Relationship Id="rId39" Type="http://schemas.openxmlformats.org/officeDocument/2006/relationships/diagramLayout" Target="diagrams/layout4.xml"/><Relationship Id="rId21" Type="http://schemas.microsoft.com/office/2007/relationships/diagramDrawing" Target="diagrams/drawing2.xml"/><Relationship Id="rId34" Type="http://schemas.openxmlformats.org/officeDocument/2006/relationships/chart" Target="charts/chart7.xml"/><Relationship Id="rId42" Type="http://schemas.microsoft.com/office/2007/relationships/diagramDrawing" Target="diagrams/drawing4.xml"/><Relationship Id="rId47" Type="http://schemas.openxmlformats.org/officeDocument/2006/relationships/diagramQuickStyle" Target="diagrams/quickStyle5.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diagramLayout" Target="diagrams/layout3.xml"/><Relationship Id="rId11" Type="http://schemas.openxmlformats.org/officeDocument/2006/relationships/diagramQuickStyle" Target="diagrams/quickStyle1.xml"/><Relationship Id="rId24" Type="http://schemas.openxmlformats.org/officeDocument/2006/relationships/header" Target="header2.xml"/><Relationship Id="rId32" Type="http://schemas.microsoft.com/office/2007/relationships/diagramDrawing" Target="diagrams/drawing3.xml"/><Relationship Id="rId37" Type="http://schemas.openxmlformats.org/officeDocument/2006/relationships/chart" Target="charts/chart10.xml"/><Relationship Id="rId40" Type="http://schemas.openxmlformats.org/officeDocument/2006/relationships/diagramQuickStyle" Target="diagrams/quickStyle4.xml"/><Relationship Id="rId45" Type="http://schemas.openxmlformats.org/officeDocument/2006/relationships/diagramData" Target="diagrams/data5.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diagramData" Target="diagrams/data3.xml"/><Relationship Id="rId36" Type="http://schemas.openxmlformats.org/officeDocument/2006/relationships/chart" Target="charts/chart9.xml"/><Relationship Id="rId49" Type="http://schemas.microsoft.com/office/2007/relationships/diagramDrawing" Target="diagrams/drawing5.xml"/><Relationship Id="rId10" Type="http://schemas.openxmlformats.org/officeDocument/2006/relationships/diagramLayout" Target="diagrams/layout1.xml"/><Relationship Id="rId19" Type="http://schemas.openxmlformats.org/officeDocument/2006/relationships/diagramQuickStyle" Target="diagrams/quickStyle2.xml"/><Relationship Id="rId31" Type="http://schemas.openxmlformats.org/officeDocument/2006/relationships/diagramColors" Target="diagrams/colors3.xml"/><Relationship Id="rId44"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chart" Target="charts/chart1.xml"/><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diagramQuickStyle" Target="diagrams/quickStyle3.xml"/><Relationship Id="rId35" Type="http://schemas.openxmlformats.org/officeDocument/2006/relationships/chart" Target="charts/chart8.xml"/><Relationship Id="rId43" Type="http://schemas.openxmlformats.org/officeDocument/2006/relationships/chart" Target="charts/chart11.xml"/><Relationship Id="rId48" Type="http://schemas.openxmlformats.org/officeDocument/2006/relationships/diagramColors" Target="diagrams/colors5.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Data" Target="diagrams/data2.xml"/><Relationship Id="rId25" Type="http://schemas.openxmlformats.org/officeDocument/2006/relationships/footer" Target="footer2.xml"/><Relationship Id="rId33" Type="http://schemas.openxmlformats.org/officeDocument/2006/relationships/chart" Target="charts/chart6.xml"/><Relationship Id="rId38" Type="http://schemas.openxmlformats.org/officeDocument/2006/relationships/diagramData" Target="diagrams/data4.xml"/><Relationship Id="rId46" Type="http://schemas.openxmlformats.org/officeDocument/2006/relationships/diagramLayout" Target="diagrams/layout5.xml"/><Relationship Id="rId20" Type="http://schemas.openxmlformats.org/officeDocument/2006/relationships/diagramColors" Target="diagrams/colors2.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9.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a:t>Ingresos</a:t>
            </a:r>
            <a:r>
              <a:rPr lang="es-GT" sz="1200" baseline="0"/>
              <a:t> Totales</a:t>
            </a:r>
          </a:p>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aseline="0"/>
              <a:t>Variación interanual acumulada al 31 de marzo de cada año</a:t>
            </a:r>
          </a:p>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00" b="0" baseline="0"/>
              <a:t>En porcentajes</a:t>
            </a:r>
            <a:endParaRPr lang="es-GT" sz="1000" b="0"/>
          </a:p>
        </c:rich>
      </c:tx>
      <c:layout>
        <c:manualLayout>
          <c:xMode val="edge"/>
          <c:yMode val="edge"/>
          <c:x val="0.18112548438047124"/>
          <c:y val="0"/>
        </c:manualLayout>
      </c:layout>
      <c:overlay val="0"/>
      <c:spPr>
        <a:noFill/>
        <a:ln>
          <a:noFill/>
        </a:ln>
        <a:effectLst/>
      </c:spPr>
      <c:txPr>
        <a:bodyPr rot="0" spcFirstLastPara="1" vertOverflow="ellipsis" vert="horz" wrap="square" anchor="ctr" anchorCtr="1"/>
        <a:lstStyle/>
        <a:p>
          <a:pPr>
            <a:defRPr sz="9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11098347707722211"/>
          <c:y val="0.30924474964512333"/>
          <c:w val="1"/>
          <c:h val="0.48005629496621083"/>
        </c:manualLayout>
      </c:layout>
      <c:barChart>
        <c:barDir val="col"/>
        <c:grouping val="clustered"/>
        <c:varyColors val="0"/>
        <c:ser>
          <c:idx val="0"/>
          <c:order val="1"/>
          <c:tx>
            <c:strRef>
              <c:f>Hoja1!$D$1</c:f>
              <c:strCache>
                <c:ptCount val="1"/>
                <c:pt idx="0">
                  <c:v>2020</c:v>
                </c:pt>
              </c:strCache>
            </c:strRef>
          </c:tx>
          <c:spPr>
            <a:solidFill>
              <a:schemeClr val="accent6"/>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4.3696744592527856E-3"/>
                  <c:y val="-3.0534351145038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69-4070-A5FD-52761F3A4378}"/>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6"/>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Enero</c:v>
                </c:pt>
                <c:pt idx="1">
                  <c:v>Febrero</c:v>
                </c:pt>
                <c:pt idx="2">
                  <c:v>Marzo</c:v>
                </c:pt>
              </c:strCache>
            </c:strRef>
          </c:cat>
          <c:val>
            <c:numRef>
              <c:f>Hoja1!$D$2:$D$4</c:f>
              <c:numCache>
                <c:formatCode>#,##0.0_ ;[Red]\-#,##0.0\ </c:formatCode>
                <c:ptCount val="3"/>
                <c:pt idx="0">
                  <c:v>9.3979182442180953</c:v>
                </c:pt>
                <c:pt idx="1">
                  <c:v>8.9608554268839846</c:v>
                </c:pt>
                <c:pt idx="2">
                  <c:v>-3.027054181871891</c:v>
                </c:pt>
              </c:numCache>
            </c:numRef>
          </c:val>
          <c:extLst>
            <c:ext xmlns:c16="http://schemas.microsoft.com/office/drawing/2014/chart" uri="{C3380CC4-5D6E-409C-BE32-E72D297353CC}">
              <c16:uniqueId val="{00000001-E2D9-4984-901D-E1114F265272}"/>
            </c:ext>
          </c:extLst>
        </c:ser>
        <c:ser>
          <c:idx val="1"/>
          <c:order val="2"/>
          <c:tx>
            <c:strRef>
              <c:f>Hoja1!$C$1</c:f>
              <c:strCache>
                <c:ptCount val="1"/>
                <c:pt idx="0">
                  <c:v>2021</c:v>
                </c:pt>
              </c:strCache>
            </c:strRef>
          </c:tx>
          <c:spPr>
            <a:solidFill>
              <a:schemeClr val="accent5"/>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Hoja1!$A$2:$A$4</c:f>
              <c:strCache>
                <c:ptCount val="3"/>
                <c:pt idx="0">
                  <c:v>Enero</c:v>
                </c:pt>
                <c:pt idx="1">
                  <c:v>Febrero</c:v>
                </c:pt>
                <c:pt idx="2">
                  <c:v>Marzo</c:v>
                </c:pt>
              </c:strCache>
            </c:strRef>
          </c:cat>
          <c:val>
            <c:numRef>
              <c:f>Hoja1!$C$2:$C$4</c:f>
              <c:numCache>
                <c:formatCode>#,##0.0_ ;[Red]\-#,##0.0\ </c:formatCode>
                <c:ptCount val="3"/>
                <c:pt idx="0">
                  <c:v>4.0544284313832168</c:v>
                </c:pt>
                <c:pt idx="1">
                  <c:v>6.0242820348289206</c:v>
                </c:pt>
                <c:pt idx="2">
                  <c:v>20.62324958373911</c:v>
                </c:pt>
              </c:numCache>
            </c:numRef>
          </c:val>
          <c:extLst>
            <c:ext xmlns:c16="http://schemas.microsoft.com/office/drawing/2014/chart" uri="{C3380CC4-5D6E-409C-BE32-E72D297353CC}">
              <c16:uniqueId val="{00000000-E2D9-4984-901D-E1114F265272}"/>
            </c:ext>
          </c:extLst>
        </c:ser>
        <c:dLbls>
          <c:showLegendKey val="0"/>
          <c:showVal val="0"/>
          <c:showCatName val="0"/>
          <c:showSerName val="0"/>
          <c:showPercent val="0"/>
          <c:showBubbleSize val="0"/>
        </c:dLbls>
        <c:gapWidth val="150"/>
        <c:axId val="1509281743"/>
        <c:axId val="344873055"/>
      </c:barChart>
      <c:lineChart>
        <c:grouping val="standard"/>
        <c:varyColors val="0"/>
        <c:ser>
          <c:idx val="2"/>
          <c:order val="0"/>
          <c:tx>
            <c:strRef>
              <c:f>Hoja1!$B$1</c:f>
              <c:strCache>
                <c:ptCount val="1"/>
                <c:pt idx="0">
                  <c:v>2022*</c:v>
                </c:pt>
              </c:strCache>
            </c:strRef>
          </c:tx>
          <c:spPr>
            <a:ln w="25400" cap="rnd">
              <a:solidFill>
                <a:schemeClr val="accent4"/>
              </a:solidFill>
              <a:round/>
              <a:tailEnd type="triangle"/>
            </a:ln>
            <a:effectLst>
              <a:outerShdw blurRad="50800" dist="38100" dir="18900000" algn="bl" rotWithShape="0">
                <a:prstClr val="black">
                  <a:alpha val="40000"/>
                </a:prstClr>
              </a:outerShdw>
            </a:effectLst>
          </c:spPr>
          <c:marker>
            <c:symbol val="diamond"/>
            <c:size val="7"/>
            <c:spPr>
              <a:solidFill>
                <a:schemeClr val="lt1"/>
              </a:solidFill>
              <a:ln w="15875">
                <a:solidFill>
                  <a:schemeClr val="accent4"/>
                </a:solidFill>
                <a:round/>
              </a:ln>
              <a:effectLst/>
            </c:spPr>
          </c:marker>
          <c:dLbls>
            <c:dLbl>
              <c:idx val="0"/>
              <c:layout>
                <c:manualLayout>
                  <c:x val="-5.4774385450016255E-2"/>
                  <c:y val="-5.96509787421610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8F-4D19-9CDB-2A18BD344173}"/>
                </c:ext>
              </c:extLst>
            </c:dLbl>
            <c:dLbl>
              <c:idx val="1"/>
              <c:layout>
                <c:manualLayout>
                  <c:x val="-3.0472458148324642E-2"/>
                  <c:y val="-6.7870810041874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8F-4D19-9CDB-2A18BD344173}"/>
                </c:ext>
              </c:extLst>
            </c:dLbl>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Enero</c:v>
                </c:pt>
                <c:pt idx="1">
                  <c:v>Febrero</c:v>
                </c:pt>
                <c:pt idx="2">
                  <c:v>Marzo</c:v>
                </c:pt>
              </c:strCache>
            </c:strRef>
          </c:cat>
          <c:val>
            <c:numRef>
              <c:f>Hoja1!$B$2:$B$4</c:f>
              <c:numCache>
                <c:formatCode>#,##0.0_ ;[Red]\-#,##0.0\ </c:formatCode>
                <c:ptCount val="3"/>
                <c:pt idx="0">
                  <c:v>12.406214048203456</c:v>
                </c:pt>
                <c:pt idx="1">
                  <c:v>11.338708074299797</c:v>
                </c:pt>
                <c:pt idx="2">
                  <c:v>14.916105370330147</c:v>
                </c:pt>
              </c:numCache>
            </c:numRef>
          </c:val>
          <c:smooth val="1"/>
          <c:extLst>
            <c:ext xmlns:c16="http://schemas.microsoft.com/office/drawing/2014/chart" uri="{C3380CC4-5D6E-409C-BE32-E72D297353CC}">
              <c16:uniqueId val="{00000005-E2D9-4984-901D-E1114F265272}"/>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pattFill prst="ltDnDiag">
          <a:fgClr>
            <a:schemeClr val="dk1">
              <a:lumMod val="15000"/>
              <a:lumOff val="85000"/>
            </a:schemeClr>
          </a:fgClr>
          <a:bgClr>
            <a:schemeClr val="lt1"/>
          </a:bgClr>
        </a:pattFill>
        <a:ln>
          <a:noFill/>
        </a:ln>
        <a:effectLst/>
      </c:spPr>
    </c:plotArea>
    <c:legend>
      <c:legendPos val="t"/>
      <c:layout>
        <c:manualLayout>
          <c:xMode val="edge"/>
          <c:yMode val="edge"/>
          <c:x val="0"/>
          <c:y val="0.84600108192582779"/>
          <c:w val="0.6715112918577486"/>
          <c:h val="9.302465160192706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a:solidFill>
                  <a:schemeClr val="tx1"/>
                </a:solidFill>
              </a:rPr>
              <a:t>Por tipo de intrumento </a:t>
            </a:r>
          </a:p>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a:solidFill>
                  <a:schemeClr val="tx1"/>
                </a:solidFill>
              </a:rPr>
              <a:t>Cifra acumulada</a:t>
            </a:r>
          </a:p>
        </c:rich>
      </c:tx>
      <c:layout>
        <c:manualLayout>
          <c:xMode val="edge"/>
          <c:yMode val="edge"/>
          <c:x val="0.24247808794645748"/>
          <c:y val="4.4535929071858145E-3"/>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7212131438965096"/>
          <c:y val="0.19398945997891995"/>
          <c:w val="0.46978523799389943"/>
          <c:h val="0.70011036022072048"/>
        </c:manualLayout>
      </c:layout>
      <c:barChart>
        <c:barDir val="bar"/>
        <c:grouping val="clustered"/>
        <c:varyColors val="1"/>
        <c:ser>
          <c:idx val="0"/>
          <c:order val="0"/>
          <c:tx>
            <c:strRef>
              <c:f>Hoja1!$B$1</c:f>
              <c:strCache>
                <c:ptCount val="1"/>
                <c:pt idx="0">
                  <c:v>Diciembre</c:v>
                </c:pt>
              </c:strCache>
            </c:strRef>
          </c:tx>
          <c:spPr>
            <a:ln>
              <a:solidFill>
                <a:schemeClr val="tx1"/>
              </a:solidFill>
            </a:ln>
            <a:effectLst>
              <a:outerShdw blurRad="50800" dist="38100" dir="18900000" algn="bl" rotWithShape="0">
                <a:prstClr val="black">
                  <a:alpha val="40000"/>
                </a:prstClr>
              </a:outerShdw>
            </a:effectLst>
          </c:spPr>
          <c:invertIfNegative val="0"/>
          <c:dPt>
            <c:idx val="0"/>
            <c:invertIfNegative val="0"/>
            <c:bubble3D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0F44-4C92-821A-7F028F1FD3E9}"/>
              </c:ext>
            </c:extLst>
          </c:dPt>
          <c:dPt>
            <c:idx val="1"/>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0F44-4C92-821A-7F028F1FD3E9}"/>
              </c:ext>
            </c:extLst>
          </c:dPt>
          <c:dPt>
            <c:idx val="2"/>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F29F-472F-91A8-BB37D81BC0C6}"/>
              </c:ext>
            </c:extLst>
          </c:dPt>
          <c:dLbls>
            <c:dLbl>
              <c:idx val="0"/>
              <c:layout>
                <c:manualLayout>
                  <c:x val="-0.1146274607525541"/>
                  <c:y val="8.17995910020449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44-4C92-821A-7F028F1FD3E9}"/>
                </c:ext>
              </c:extLst>
            </c:dLbl>
            <c:dLbl>
              <c:idx val="1"/>
              <c:layout>
                <c:manualLayout>
                  <c:x val="-2.2522522522522521E-2"/>
                  <c:y val="-8.6912065439672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44-4C92-821A-7F028F1FD3E9}"/>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Titulos de Deuda</c:v>
                </c:pt>
                <c:pt idx="1">
                  <c:v>Prestamos</c:v>
                </c:pt>
                <c:pt idx="2">
                  <c:v>Otras cuentas por pagar</c:v>
                </c:pt>
              </c:strCache>
            </c:strRef>
          </c:cat>
          <c:val>
            <c:numRef>
              <c:f>Hoja1!$B$2:$B$4</c:f>
              <c:numCache>
                <c:formatCode>#,##0.0_ ;[Red]\-#,##0.0\ </c:formatCode>
                <c:ptCount val="3"/>
                <c:pt idx="0">
                  <c:v>3377.6649181199996</c:v>
                </c:pt>
                <c:pt idx="1">
                  <c:v>-758.08141007000017</c:v>
                </c:pt>
                <c:pt idx="2">
                  <c:v>-187.18692313000003</c:v>
                </c:pt>
              </c:numCache>
            </c:numRef>
          </c:val>
          <c:extLst>
            <c:ext xmlns:c16="http://schemas.microsoft.com/office/drawing/2014/chart" uri="{C3380CC4-5D6E-409C-BE32-E72D297353CC}">
              <c16:uniqueId val="{00000000-92B5-4ECC-B1F9-B9EE3AEC1E4F}"/>
            </c:ext>
          </c:extLst>
        </c:ser>
        <c:dLbls>
          <c:dLblPos val="inEnd"/>
          <c:showLegendKey val="0"/>
          <c:showVal val="1"/>
          <c:showCatName val="0"/>
          <c:showSerName val="0"/>
          <c:showPercent val="0"/>
          <c:showBubbleSize val="0"/>
        </c:dLbls>
        <c:gapWidth val="119"/>
        <c:overlap val="-48"/>
        <c:axId val="152972768"/>
        <c:axId val="152984368"/>
      </c:barChart>
      <c:catAx>
        <c:axId val="15297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84368"/>
        <c:crosses val="autoZero"/>
        <c:auto val="1"/>
        <c:lblAlgn val="ctr"/>
        <c:lblOffset val="100"/>
        <c:noMultiLvlLbl val="0"/>
      </c:catAx>
      <c:valAx>
        <c:axId val="152984368"/>
        <c:scaling>
          <c:orientation val="minMax"/>
          <c:min val="-1200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27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200" b="1" i="0" baseline="0">
                <a:effectLst/>
              </a:rPr>
              <a:t>Erogaciones por Función del Gobierno</a:t>
            </a:r>
            <a:endParaRPr lang="es-GT" sz="1200">
              <a:effectLst/>
            </a:endParaRPr>
          </a:p>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Variaciones interanuales acumuladas a marzo 2022* </a:t>
            </a:r>
            <a:endParaRPr lang="es-GT" sz="1100">
              <a:effectLst/>
            </a:endParaRPr>
          </a:p>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00" b="0" i="0" baseline="0">
                <a:effectLst/>
              </a:rPr>
              <a:t>En millones de quetzales</a:t>
            </a:r>
            <a:endParaRPr lang="es-GT" sz="1000">
              <a:effectLst/>
            </a:endParaRPr>
          </a:p>
        </c:rich>
      </c:tx>
      <c:layout>
        <c:manualLayout>
          <c:xMode val="edge"/>
          <c:yMode val="edge"/>
          <c:x val="0.23946759259259259"/>
          <c:y val="0"/>
        </c:manualLayout>
      </c:layout>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31064468503937009"/>
          <c:y val="0.14565996699406725"/>
          <c:w val="0.68935531496062996"/>
          <c:h val="0.79207363311288181"/>
        </c:manualLayout>
      </c:layout>
      <c:barChart>
        <c:barDir val="bar"/>
        <c:grouping val="clustered"/>
        <c:varyColors val="0"/>
        <c:ser>
          <c:idx val="0"/>
          <c:order val="0"/>
          <c:tx>
            <c:strRef>
              <c:f>Hoja1!$B$1</c:f>
              <c:strCache>
                <c:ptCount val="1"/>
                <c:pt idx="0">
                  <c:v>2022*</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Lbls>
            <c:dLbl>
              <c:idx val="0"/>
              <c:layout>
                <c:manualLayout>
                  <c:x val="0"/>
                  <c:y val="-3.56362600682854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E5E-4CD5-BF69-A6C38307C770}"/>
                </c:ext>
              </c:extLst>
            </c:dLbl>
            <c:dLbl>
              <c:idx val="3"/>
              <c:layout>
                <c:manualLayout>
                  <c:x val="0"/>
                  <c:y val="-6.74093937715625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5E-4CD5-BF69-A6C38307C770}"/>
                </c:ext>
              </c:extLst>
            </c:dLbl>
            <c:dLbl>
              <c:idx val="9"/>
              <c:layout>
                <c:manualLayout>
                  <c:x val="-6.94444444444440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5E-4CD5-BF69-A6C38307C770}"/>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Salud </c:v>
                </c:pt>
                <c:pt idx="1">
                  <c:v>Servicios públicos generales </c:v>
                </c:pt>
                <c:pt idx="2">
                  <c:v>Asuntos económicos </c:v>
                </c:pt>
                <c:pt idx="3">
                  <c:v>Educación </c:v>
                </c:pt>
                <c:pt idx="4">
                  <c:v>Vivienda y servicios comunitarios </c:v>
                </c:pt>
                <c:pt idx="5">
                  <c:v>Orden público y seguridad </c:v>
                </c:pt>
                <c:pt idx="6">
                  <c:v>Defensa </c:v>
                </c:pt>
                <c:pt idx="7">
                  <c:v>Protección social </c:v>
                </c:pt>
                <c:pt idx="8">
                  <c:v>Protección del medio ambiente </c:v>
                </c:pt>
                <c:pt idx="9">
                  <c:v>Actividades recreativas, cultura y religión </c:v>
                </c:pt>
              </c:strCache>
            </c:strRef>
          </c:cat>
          <c:val>
            <c:numRef>
              <c:f>Hoja1!$B$2:$B$11</c:f>
              <c:numCache>
                <c:formatCode>_(* #,##0.00_);_(* \(#,##0.00\);_(* "-"??_);_(@_)</c:formatCode>
                <c:ptCount val="10"/>
                <c:pt idx="0">
                  <c:v>720.68036642000015</c:v>
                </c:pt>
                <c:pt idx="1">
                  <c:v>612.61738203000004</c:v>
                </c:pt>
                <c:pt idx="2">
                  <c:v>463.47416475000011</c:v>
                </c:pt>
                <c:pt idx="3">
                  <c:v>430.98186376000012</c:v>
                </c:pt>
                <c:pt idx="4">
                  <c:v>351.92579371999977</c:v>
                </c:pt>
                <c:pt idx="5">
                  <c:v>323.61922829000059</c:v>
                </c:pt>
                <c:pt idx="6">
                  <c:v>228.03706987999988</c:v>
                </c:pt>
                <c:pt idx="7">
                  <c:v>130.99861369000018</c:v>
                </c:pt>
                <c:pt idx="8">
                  <c:v>96.252431180000031</c:v>
                </c:pt>
                <c:pt idx="9">
                  <c:v>29.230564640000011</c:v>
                </c:pt>
              </c:numCache>
            </c:numRef>
          </c:val>
          <c:extLst>
            <c:ext xmlns:c16="http://schemas.microsoft.com/office/drawing/2014/chart" uri="{C3380CC4-5D6E-409C-BE32-E72D297353CC}">
              <c16:uniqueId val="{00000003-8E5E-4CD5-BF69-A6C38307C770}"/>
            </c:ext>
          </c:extLst>
        </c:ser>
        <c:ser>
          <c:idx val="1"/>
          <c:order val="1"/>
          <c:tx>
            <c:strRef>
              <c:f>Hoja1!$C$1</c:f>
              <c:strCache>
                <c:ptCount val="1"/>
                <c:pt idx="0">
                  <c:v>2021</c:v>
                </c:pt>
              </c:strCache>
            </c:strRef>
          </c:tx>
          <c:spPr>
            <a:solidFill>
              <a:schemeClr val="accent2"/>
            </a:solidFill>
            <a:ln>
              <a:solidFill>
                <a:sysClr val="windowText" lastClr="000000"/>
              </a:solidFill>
            </a:ln>
            <a:effectLst>
              <a:outerShdw blurRad="50800" dist="38100" dir="18900000" algn="bl" rotWithShape="0">
                <a:prstClr val="black">
                  <a:alpha val="40000"/>
                </a:prstClr>
              </a:outerShdw>
            </a:effectLst>
          </c:spPr>
          <c:invertIfNegative val="0"/>
          <c:dLbls>
            <c:dLbl>
              <c:idx val="1"/>
              <c:layout>
                <c:manualLayout>
                  <c:x val="0"/>
                  <c:y val="-4.41111601235128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5E-4CD5-BF69-A6C38307C770}"/>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Hoja1!$A$2:$A$11</c:f>
              <c:strCache>
                <c:ptCount val="10"/>
                <c:pt idx="0">
                  <c:v>Salud </c:v>
                </c:pt>
                <c:pt idx="1">
                  <c:v>Servicios públicos generales </c:v>
                </c:pt>
                <c:pt idx="2">
                  <c:v>Asuntos económicos </c:v>
                </c:pt>
                <c:pt idx="3">
                  <c:v>Educación </c:v>
                </c:pt>
                <c:pt idx="4">
                  <c:v>Vivienda y servicios comunitarios </c:v>
                </c:pt>
                <c:pt idx="5">
                  <c:v>Orden público y seguridad </c:v>
                </c:pt>
                <c:pt idx="6">
                  <c:v>Defensa </c:v>
                </c:pt>
                <c:pt idx="7">
                  <c:v>Protección social </c:v>
                </c:pt>
                <c:pt idx="8">
                  <c:v>Protección del medio ambiente </c:v>
                </c:pt>
                <c:pt idx="9">
                  <c:v>Actividades recreativas, cultura y religión </c:v>
                </c:pt>
              </c:strCache>
            </c:strRef>
          </c:cat>
          <c:val>
            <c:numRef>
              <c:f>Hoja1!$C$2:$C$11</c:f>
              <c:numCache>
                <c:formatCode>_(* #,##0.00_);_(* \(#,##0.00\);_(* "-"??_);_(@_)</c:formatCode>
                <c:ptCount val="10"/>
                <c:pt idx="0">
                  <c:v>274.84014319000016</c:v>
                </c:pt>
                <c:pt idx="1">
                  <c:v>172.43089457999986</c:v>
                </c:pt>
                <c:pt idx="2">
                  <c:v>200.16243985999995</c:v>
                </c:pt>
                <c:pt idx="3">
                  <c:v>-169.0719155099996</c:v>
                </c:pt>
                <c:pt idx="4">
                  <c:v>-74.658962240000392</c:v>
                </c:pt>
                <c:pt idx="5">
                  <c:v>-69.080048940000779</c:v>
                </c:pt>
                <c:pt idx="6">
                  <c:v>26.43920264999997</c:v>
                </c:pt>
                <c:pt idx="7">
                  <c:v>-69.494107379999605</c:v>
                </c:pt>
                <c:pt idx="8">
                  <c:v>-19.130260780000008</c:v>
                </c:pt>
                <c:pt idx="9">
                  <c:v>-9.8138971500000025</c:v>
                </c:pt>
              </c:numCache>
            </c:numRef>
          </c:val>
          <c:extLst>
            <c:ext xmlns:c16="http://schemas.microsoft.com/office/drawing/2014/chart" uri="{C3380CC4-5D6E-409C-BE32-E72D297353CC}">
              <c16:uniqueId val="{00000005-8E5E-4CD5-BF69-A6C38307C770}"/>
            </c:ext>
          </c:extLst>
        </c:ser>
        <c:dLbls>
          <c:showLegendKey val="0"/>
          <c:showVal val="0"/>
          <c:showCatName val="0"/>
          <c:showSerName val="0"/>
          <c:showPercent val="0"/>
          <c:showBubbleSize val="0"/>
        </c:dLbls>
        <c:gapWidth val="247"/>
        <c:axId val="1170388288"/>
        <c:axId val="1181658512"/>
      </c:barChart>
      <c:catAx>
        <c:axId val="117038828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81658512"/>
        <c:crosses val="autoZero"/>
        <c:auto val="1"/>
        <c:lblAlgn val="ctr"/>
        <c:lblOffset val="100"/>
        <c:noMultiLvlLbl val="0"/>
      </c:catAx>
      <c:valAx>
        <c:axId val="1181658512"/>
        <c:scaling>
          <c:orientation val="minMax"/>
        </c:scaling>
        <c:delete val="0"/>
        <c:axPos val="b"/>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170388288"/>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75357886063514479"/>
          <c:y val="0.14825505564836217"/>
          <c:w val="0.21279593175853018"/>
          <c:h val="8.2177019539224266E-2"/>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100" b="1" i="0">
                <a:effectLst/>
              </a:rPr>
              <a:t>𝐆𝐫𝐚𝐝𝐨 𝐝𝐞 𝐄𝐣𝐞𝐜𝐮𝐜𝐢ó𝐧 𝐩𝐨𝐫 𝐄𝐧𝐭𝐢𝐝𝐚𝐝 </a:t>
            </a:r>
            <a:r>
              <a:rPr lang="es-MX" sz="1100" b="1" i="0" baseline="30000">
                <a:effectLst/>
              </a:rPr>
              <a:t>𝟏/</a:t>
            </a:r>
            <a:endParaRPr lang="es-GT" sz="1100" baseline="30000">
              <a:effectLst/>
            </a:endParaRP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050" b="1">
                <a:effectLst/>
              </a:rPr>
              <a:t>Cifras a marzo de 2022*</a:t>
            </a:r>
            <a:endParaRPr lang="es-GT" sz="1050">
              <a:effectLst/>
            </a:endParaRPr>
          </a:p>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s-MX" sz="1000">
                <a:effectLst/>
              </a:rPr>
              <a:t>En porcentajes</a:t>
            </a:r>
            <a:endParaRPr lang="es-GT" sz="1000">
              <a:effectLst/>
            </a:endParaRPr>
          </a:p>
        </c:rich>
      </c:tx>
      <c:layout>
        <c:manualLayout>
          <c:xMode val="edge"/>
          <c:yMode val="edge"/>
          <c:x val="0.1822329508578146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5.5104907888233662E-2"/>
          <c:y val="0.11960820848314208"/>
          <c:w val="0.96086113161048337"/>
          <c:h val="0.76673061572824874"/>
        </c:manualLayout>
      </c:layout>
      <c:barChart>
        <c:barDir val="bar"/>
        <c:grouping val="clustered"/>
        <c:varyColors val="0"/>
        <c:ser>
          <c:idx val="0"/>
          <c:order val="0"/>
          <c:tx>
            <c:strRef>
              <c:f>Sheet1!$B$1</c:f>
              <c:strCache>
                <c:ptCount val="1"/>
                <c:pt idx="0">
                  <c:v>%</c:v>
                </c:pt>
              </c:strCache>
            </c:strRef>
          </c:tx>
          <c:spPr>
            <a:solidFill>
              <a:schemeClr val="accent2">
                <a:lumMod val="60000"/>
                <a:lumOff val="40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invertIfNegative val="0"/>
          <c:dPt>
            <c:idx val="3"/>
            <c:invertIfNegative val="0"/>
            <c:bubble3D val="0"/>
            <c:extLst>
              <c:ext xmlns:c16="http://schemas.microsoft.com/office/drawing/2014/chart" uri="{C3380CC4-5D6E-409C-BE32-E72D297353CC}">
                <c16:uniqueId val="{00000000-1555-488B-8CF5-F45EFE7794A5}"/>
              </c:ext>
            </c:extLst>
          </c:dPt>
          <c:dPt>
            <c:idx val="7"/>
            <c:invertIfNegative val="0"/>
            <c:bubble3D val="0"/>
            <c:extLst>
              <c:ext xmlns:c16="http://schemas.microsoft.com/office/drawing/2014/chart" uri="{C3380CC4-5D6E-409C-BE32-E72D297353CC}">
                <c16:uniqueId val="{00000001-1555-488B-8CF5-F45EFE7794A5}"/>
              </c:ext>
            </c:extLst>
          </c:dPt>
          <c:dPt>
            <c:idx val="8"/>
            <c:invertIfNegative val="0"/>
            <c:bubble3D val="0"/>
            <c:extLst>
              <c:ext xmlns:c16="http://schemas.microsoft.com/office/drawing/2014/chart" uri="{C3380CC4-5D6E-409C-BE32-E72D297353CC}">
                <c16:uniqueId val="{00000002-1555-488B-8CF5-F45EFE7794A5}"/>
              </c:ext>
            </c:extLst>
          </c:dPt>
          <c:dPt>
            <c:idx val="9"/>
            <c:invertIfNegative val="0"/>
            <c:bubble3D val="0"/>
            <c:extLst>
              <c:ext xmlns:c16="http://schemas.microsoft.com/office/drawing/2014/chart" uri="{C3380CC4-5D6E-409C-BE32-E72D297353CC}">
                <c16:uniqueId val="{00000003-1555-488B-8CF5-F45EFE7794A5}"/>
              </c:ext>
            </c:extLst>
          </c:dPt>
          <c:dPt>
            <c:idx val="10"/>
            <c:invertIfNegative val="0"/>
            <c:bubble3D val="0"/>
            <c:extLst>
              <c:ext xmlns:c16="http://schemas.microsoft.com/office/drawing/2014/chart" uri="{C3380CC4-5D6E-409C-BE32-E72D297353CC}">
                <c16:uniqueId val="{00000004-1555-488B-8CF5-F45EFE7794A5}"/>
              </c:ext>
            </c:extLst>
          </c:dPt>
          <c:dPt>
            <c:idx val="11"/>
            <c:invertIfNegative val="0"/>
            <c:bubble3D val="0"/>
            <c:spPr>
              <a:solidFill>
                <a:schemeClr val="accent2">
                  <a:lumMod val="75000"/>
                </a:schemeClr>
              </a:solidFill>
              <a:ln>
                <a:solidFill>
                  <a:schemeClr val="tx1"/>
                </a:solidFill>
              </a:ln>
              <a:effectLst>
                <a:outerShdw blurRad="50800" dist="38100" dir="18900000" algn="bl" rotWithShape="0">
                  <a:prstClr val="black">
                    <a:alpha val="40000"/>
                  </a:prstClr>
                </a:outerShdw>
              </a:effectLst>
              <a:scene3d>
                <a:camera prst="orthographicFront"/>
                <a:lightRig rig="threePt" dir="t"/>
              </a:scene3d>
              <a:sp3d/>
            </c:spPr>
            <c:extLst>
              <c:ext xmlns:c16="http://schemas.microsoft.com/office/drawing/2014/chart" uri="{C3380CC4-5D6E-409C-BE32-E72D297353CC}">
                <c16:uniqueId val="{00000006-1555-488B-8CF5-F45EFE7794A5}"/>
              </c:ext>
            </c:extLst>
          </c:dPt>
          <c:dPt>
            <c:idx val="13"/>
            <c:invertIfNegative val="0"/>
            <c:bubble3D val="0"/>
            <c:extLst>
              <c:ext xmlns:c16="http://schemas.microsoft.com/office/drawing/2014/chart" uri="{C3380CC4-5D6E-409C-BE32-E72D297353CC}">
                <c16:uniqueId val="{00000007-1555-488B-8CF5-F45EFE7794A5}"/>
              </c:ext>
            </c:extLst>
          </c:dPt>
          <c:dLbls>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0-1555-488B-8CF5-F45EFE7794A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Ambiente </c:v>
                </c:pt>
                <c:pt idx="1">
                  <c:v>Desarrollo</c:v>
                </c:pt>
                <c:pt idx="2">
                  <c:v>Economía</c:v>
                </c:pt>
                <c:pt idx="3">
                  <c:v>Agricultura</c:v>
                </c:pt>
                <c:pt idx="4">
                  <c:v>Cultura</c:v>
                </c:pt>
                <c:pt idx="5">
                  <c:v>Secretarías</c:v>
                </c:pt>
                <c:pt idx="6">
                  <c:v>Deuda Pública</c:v>
                </c:pt>
                <c:pt idx="7">
                  <c:v>Gobernación</c:v>
                </c:pt>
                <c:pt idx="8">
                  <c:v>Salud Pública </c:v>
                </c:pt>
                <c:pt idx="9">
                  <c:v>Finanzas</c:v>
                </c:pt>
                <c:pt idx="10">
                  <c:v>MINREX</c:v>
                </c:pt>
                <c:pt idx="11">
                  <c:v>Total</c:v>
                </c:pt>
                <c:pt idx="12">
                  <c:v>Obligaciones </c:v>
                </c:pt>
                <c:pt idx="13">
                  <c:v>Trabajo </c:v>
                </c:pt>
                <c:pt idx="14">
                  <c:v>Comunicaciones</c:v>
                </c:pt>
                <c:pt idx="15">
                  <c:v>Educación </c:v>
                </c:pt>
                <c:pt idx="16">
                  <c:v>Presidencia</c:v>
                </c:pt>
                <c:pt idx="17">
                  <c:v>PGN</c:v>
                </c:pt>
                <c:pt idx="18">
                  <c:v>Defensa </c:v>
                </c:pt>
                <c:pt idx="19">
                  <c:v>Energía</c:v>
                </c:pt>
              </c:strCache>
            </c:strRef>
          </c:cat>
          <c:val>
            <c:numRef>
              <c:f>Sheet1!$B$2:$B$21</c:f>
              <c:numCache>
                <c:formatCode>0.0</c:formatCode>
                <c:ptCount val="20"/>
                <c:pt idx="0">
                  <c:v>12.115850432917901</c:v>
                </c:pt>
                <c:pt idx="1">
                  <c:v>12.121342834841126</c:v>
                </c:pt>
                <c:pt idx="2">
                  <c:v>13.397416917578806</c:v>
                </c:pt>
                <c:pt idx="3">
                  <c:v>14.073181691716776</c:v>
                </c:pt>
                <c:pt idx="4">
                  <c:v>14.928769231437</c:v>
                </c:pt>
                <c:pt idx="5">
                  <c:v>18.488626684943142</c:v>
                </c:pt>
                <c:pt idx="6">
                  <c:v>18.603132330459772</c:v>
                </c:pt>
                <c:pt idx="7">
                  <c:v>18.945267984428934</c:v>
                </c:pt>
                <c:pt idx="8">
                  <c:v>19.462818248591486</c:v>
                </c:pt>
                <c:pt idx="9">
                  <c:v>19.793777289335615</c:v>
                </c:pt>
                <c:pt idx="10">
                  <c:v>19.904045473678003</c:v>
                </c:pt>
                <c:pt idx="11">
                  <c:v>20.130418810639434</c:v>
                </c:pt>
                <c:pt idx="12">
                  <c:v>20.174387619418511</c:v>
                </c:pt>
                <c:pt idx="13">
                  <c:v>20.18626376688643</c:v>
                </c:pt>
                <c:pt idx="14">
                  <c:v>21.233957665480226</c:v>
                </c:pt>
                <c:pt idx="15">
                  <c:v>22.059891061392754</c:v>
                </c:pt>
                <c:pt idx="16">
                  <c:v>22.07254775121951</c:v>
                </c:pt>
                <c:pt idx="17">
                  <c:v>23.641539659999996</c:v>
                </c:pt>
                <c:pt idx="18">
                  <c:v>24.112724659356161</c:v>
                </c:pt>
                <c:pt idx="19">
                  <c:v>63.940564808506238</c:v>
                </c:pt>
              </c:numCache>
            </c:numRef>
          </c:val>
          <c:extLst>
            <c:ext xmlns:c16="http://schemas.microsoft.com/office/drawing/2014/chart" uri="{C3380CC4-5D6E-409C-BE32-E72D297353CC}">
              <c16:uniqueId val="{00000008-1555-488B-8CF5-F45EFE7794A5}"/>
            </c:ext>
          </c:extLst>
        </c:ser>
        <c:dLbls>
          <c:showLegendKey val="0"/>
          <c:showVal val="0"/>
          <c:showCatName val="0"/>
          <c:showSerName val="0"/>
          <c:showPercent val="0"/>
          <c:showBubbleSize val="0"/>
        </c:dLbls>
        <c:gapWidth val="99"/>
        <c:axId val="584502968"/>
        <c:axId val="584496080"/>
      </c:barChart>
      <c:catAx>
        <c:axId val="584502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496080"/>
        <c:crosses val="autoZero"/>
        <c:auto val="1"/>
        <c:lblAlgn val="ctr"/>
        <c:lblOffset val="100"/>
        <c:noMultiLvlLbl val="0"/>
      </c:catAx>
      <c:valAx>
        <c:axId val="584496080"/>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84502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a:solidFill>
                  <a:sysClr val="windowText" lastClr="000000"/>
                </a:solidFill>
              </a:rPr>
              <a:t>Ingresos Totales por clasificación MEFP</a:t>
            </a: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b="1">
                <a:solidFill>
                  <a:sysClr val="windowText" lastClr="000000"/>
                </a:solidFill>
              </a:rPr>
              <a:t>Variación interanual acumulada a marzo</a:t>
            </a:r>
            <a:r>
              <a:rPr lang="en-US" sz="1100" b="1" baseline="0">
                <a:solidFill>
                  <a:sysClr val="windowText" lastClr="000000"/>
                </a:solidFill>
              </a:rPr>
              <a:t> </a:t>
            </a:r>
            <a:r>
              <a:rPr lang="en-US" sz="1100" b="1">
                <a:solidFill>
                  <a:sysClr val="windowText" lastClr="000000"/>
                </a:solidFill>
              </a:rPr>
              <a:t>2022*</a:t>
            </a: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000" b="0">
                <a:solidFill>
                  <a:sysClr val="windowText" lastClr="000000"/>
                </a:solidFill>
              </a:rPr>
              <a:t>En millones de Quetzales</a:t>
            </a:r>
          </a:p>
        </c:rich>
      </c:tx>
      <c:layout>
        <c:manualLayout>
          <c:xMode val="edge"/>
          <c:yMode val="edge"/>
          <c:x val="0.26254132099927324"/>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4.0408336877924285E-2"/>
          <c:y val="0.29378602427171852"/>
          <c:w val="0.94778901254952663"/>
          <c:h val="0.57796990722694319"/>
        </c:manualLayout>
      </c:layout>
      <c:barChart>
        <c:barDir val="col"/>
        <c:grouping val="clustered"/>
        <c:varyColors val="0"/>
        <c:ser>
          <c:idx val="0"/>
          <c:order val="0"/>
          <c:tx>
            <c:strRef>
              <c:f>Hoja1!$B$1</c:f>
              <c:strCache>
                <c:ptCount val="1"/>
                <c:pt idx="0">
                  <c:v>Diferencia acumulada en Q</c:v>
                </c:pt>
              </c:strCache>
            </c:strRef>
          </c:tx>
          <c:spPr>
            <a:solidFill>
              <a:srgbClr val="1F497D"/>
            </a:solidFill>
            <a:ln>
              <a:solidFill>
                <a:schemeClr val="tx1"/>
              </a:solidFill>
            </a:ln>
            <a:effectLst>
              <a:outerShdw blurRad="50800" dist="38100" dir="18900000" algn="bl" rotWithShape="0">
                <a:prstClr val="black">
                  <a:alpha val="40000"/>
                </a:prstClr>
              </a:outerShdw>
            </a:effectLst>
          </c:spPr>
          <c:invertIfNegative val="1"/>
          <c:dPt>
            <c:idx val="0"/>
            <c:invertIfNegative val="1"/>
            <c:bubble3D val="0"/>
            <c:spPr>
              <a:solidFill>
                <a:schemeClr val="tx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87A6-4C68-88CD-2C6CC3BED143}"/>
              </c:ext>
            </c:extLst>
          </c:dPt>
          <c:dPt>
            <c:idx val="3"/>
            <c:invertIfNegative val="0"/>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87A6-4C68-88CD-2C6CC3BED143}"/>
              </c:ext>
            </c:extLst>
          </c:dPt>
          <c:dPt>
            <c:idx val="4"/>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87A6-4C68-88CD-2C6CC3BED143}"/>
              </c:ext>
            </c:extLst>
          </c:dPt>
          <c:dLbls>
            <c:dLbl>
              <c:idx val="4"/>
              <c:spPr>
                <a:noFill/>
                <a:ln>
                  <a:noFill/>
                </a:ln>
                <a:effectLst/>
              </c:spPr>
              <c:txPr>
                <a:bodyPr rot="0" spcFirstLastPara="1" vertOverflow="ellipsis" vert="horz" wrap="square" anchor="ctr" anchorCtr="1"/>
                <a:lstStyle/>
                <a:p>
                  <a:pPr>
                    <a:defRPr sz="9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extLst>
                <c:ext xmlns:c16="http://schemas.microsoft.com/office/drawing/2014/chart" uri="{C3380CC4-5D6E-409C-BE32-E72D297353CC}">
                  <c16:uniqueId val="{00000005-87A6-4C68-88CD-2C6CC3BED143}"/>
                </c:ext>
              </c:extLst>
            </c:dLbl>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Hoja1!$A$2:$A$6</c:f>
              <c:strCache>
                <c:ptCount val="5"/>
                <c:pt idx="0">
                  <c:v>Impuestos </c:v>
                </c:pt>
                <c:pt idx="1">
                  <c:v>Otros ingresos </c:v>
                </c:pt>
                <c:pt idx="2">
                  <c:v>Contribuciones sociales </c:v>
                </c:pt>
                <c:pt idx="3">
                  <c:v>Donaciones </c:v>
                </c:pt>
                <c:pt idx="4">
                  <c:v>Ingresos Totales</c:v>
                </c:pt>
              </c:strCache>
            </c:strRef>
          </c:cat>
          <c:val>
            <c:numRef>
              <c:f>Hoja1!$B$2:$B$6</c:f>
              <c:numCache>
                <c:formatCode>#,##0.0_ ;[Red]\-#,##0.0\ </c:formatCode>
                <c:ptCount val="5"/>
                <c:pt idx="0">
                  <c:v>2806.6579358399977</c:v>
                </c:pt>
                <c:pt idx="1">
                  <c:v>83.742138640000121</c:v>
                </c:pt>
                <c:pt idx="2">
                  <c:v>26.61538242000006</c:v>
                </c:pt>
                <c:pt idx="3">
                  <c:v>-28.684173260000001</c:v>
                </c:pt>
                <c:pt idx="4">
                  <c:v>2888.3312836399978</c:v>
                </c:pt>
              </c:numCache>
            </c:numRef>
          </c:val>
          <c:extLst>
            <c:ext xmlns:c14="http://schemas.microsoft.com/office/drawing/2007/8/2/chart" uri="{6F2FDCE9-48DA-4B69-8628-5D25D57E5C99}">
              <c14:invertSolidFillFmt>
                <c14:spPr xmlns:c14="http://schemas.microsoft.com/office/drawing/2007/8/2/chart">
                  <a:solidFill>
                    <a:srgbClr val="C0504D"/>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6-87A6-4C68-88CD-2C6CC3BED143}"/>
            </c:ext>
          </c:extLst>
        </c:ser>
        <c:dLbls>
          <c:showLegendKey val="0"/>
          <c:showVal val="0"/>
          <c:showCatName val="0"/>
          <c:showSerName val="0"/>
          <c:showPercent val="0"/>
          <c:showBubbleSize val="0"/>
        </c:dLbls>
        <c:gapWidth val="267"/>
        <c:axId val="415018800"/>
        <c:axId val="408568416"/>
      </c:barChart>
      <c:catAx>
        <c:axId val="4150188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408568416"/>
        <c:crosses val="autoZero"/>
        <c:auto val="1"/>
        <c:lblAlgn val="ctr"/>
        <c:lblOffset val="100"/>
        <c:noMultiLvlLbl val="0"/>
      </c:catAx>
      <c:valAx>
        <c:axId val="408568416"/>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41501880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100" b="1" i="0" baseline="0">
                <a:effectLst/>
              </a:rPr>
              <a:t>Impuestos por clasificación MEFP</a:t>
            </a:r>
            <a:endParaRPr lang="es-GT" sz="1100">
              <a:effectLst/>
            </a:endParaRPr>
          </a:p>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900" b="1" i="0" baseline="0">
                <a:effectLst/>
              </a:rPr>
              <a:t>Variación interanual acumulada a marzo* </a:t>
            </a:r>
            <a:endParaRPr lang="es-GT" sz="900">
              <a:effectLst/>
            </a:endParaRPr>
          </a:p>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s-GT" sz="1000" b="0" i="0" baseline="0">
                <a:effectLst/>
              </a:rPr>
              <a:t>En millones de quetzales</a:t>
            </a:r>
            <a:endParaRPr lang="es-GT" sz="1000">
              <a:effectLst/>
            </a:endParaRPr>
          </a:p>
        </c:rich>
      </c:tx>
      <c:layout>
        <c:manualLayout>
          <c:xMode val="edge"/>
          <c:yMode val="edge"/>
          <c:x val="9.7608613181037154E-2"/>
          <c:y val="1.5076794941342145E-3"/>
        </c:manualLayout>
      </c:layout>
      <c:overlay val="0"/>
      <c:spPr>
        <a:noFill/>
        <a:ln>
          <a:noFill/>
        </a:ln>
        <a:effectLst/>
      </c:spPr>
      <c:txPr>
        <a:bodyPr rot="0" spcFirstLastPara="1" vertOverflow="ellipsis" vert="horz" wrap="square" anchor="ctr" anchorCtr="1"/>
        <a:lstStyle/>
        <a:p>
          <a:pPr>
            <a:defRPr sz="1600" b="0" i="0" u="none" strike="noStrike" kern="1200" cap="none"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49999982834062029"/>
          <c:y val="0.10562716284668239"/>
          <c:w val="0.45639868920897642"/>
          <c:h val="0.80795024825718442"/>
        </c:manualLayout>
      </c:layout>
      <c:barChart>
        <c:barDir val="bar"/>
        <c:grouping val="clustered"/>
        <c:varyColors val="0"/>
        <c:ser>
          <c:idx val="0"/>
          <c:order val="0"/>
          <c:tx>
            <c:strRef>
              <c:f>Hoja1!$B$1</c:f>
              <c:strCache>
                <c:ptCount val="1"/>
                <c:pt idx="0">
                  <c:v>2022*</c:v>
                </c:pt>
              </c:strCache>
            </c:strRef>
          </c:tx>
          <c:spPr>
            <a:solidFill>
              <a:schemeClr val="accent1"/>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00B0F0"/>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A667-4492-9669-3A5FD083E581}"/>
              </c:ext>
            </c:extLst>
          </c:dPt>
          <c:dLbls>
            <c:dLbl>
              <c:idx val="0"/>
              <c:layout>
                <c:manualLayout>
                  <c:x val="3.441427244746794E-3"/>
                  <c:y val="6.30577427821522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667-4492-9669-3A5FD083E581}"/>
                </c:ext>
              </c:extLst>
            </c:dLbl>
            <c:dLbl>
              <c:idx val="1"/>
              <c:layout>
                <c:manualLayout>
                  <c:x val="-2.345553764575947E-3"/>
                  <c:y val="3.73836793128131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667-4492-9669-3A5FD083E581}"/>
                </c:ext>
              </c:extLst>
            </c:dLbl>
            <c:dLbl>
              <c:idx val="3"/>
              <c:layout>
                <c:manualLayout>
                  <c:x val="0"/>
                  <c:y val="5.038945030656592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5E-4A65-A85B-576CCAA7FD26}"/>
                </c:ext>
              </c:extLst>
            </c:dLbl>
            <c:dLbl>
              <c:idx val="5"/>
              <c:layout>
                <c:manualLayout>
                  <c:x val="-1.5258528129462164E-16"/>
                  <c:y val="9.33271115258982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5E-4A65-A85B-576CCAA7FD26}"/>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1"/>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Hoja1!$B$2:$B$7</c:f>
              <c:numCache>
                <c:formatCode>#,##0.0_ ;[Red]\-#,##0.0\ </c:formatCode>
                <c:ptCount val="6"/>
                <c:pt idx="0" formatCode="_(* #,##0.00_);_(* \(#,##0.00\);_(* &quot;-&quot;??_);_(@_)">
                  <c:v>2806.6579358399999</c:v>
                </c:pt>
                <c:pt idx="1">
                  <c:v>1434.5036480099989</c:v>
                </c:pt>
                <c:pt idx="2">
                  <c:v>1162.0328439000014</c:v>
                </c:pt>
                <c:pt idx="3">
                  <c:v>185.11854053999991</c:v>
                </c:pt>
                <c:pt idx="4">
                  <c:v>20.657380590000002</c:v>
                </c:pt>
                <c:pt idx="5">
                  <c:v>4.3455228000000004</c:v>
                </c:pt>
              </c:numCache>
            </c:numRef>
          </c:val>
          <c:extLst>
            <c:ext xmlns:c16="http://schemas.microsoft.com/office/drawing/2014/chart" uri="{C3380CC4-5D6E-409C-BE32-E72D297353CC}">
              <c16:uniqueId val="{00000003-A667-4492-9669-3A5FD083E581}"/>
            </c:ext>
          </c:extLst>
        </c:ser>
        <c:ser>
          <c:idx val="1"/>
          <c:order val="1"/>
          <c:tx>
            <c:strRef>
              <c:f>Hoja1!$C$1</c:f>
              <c:strCache>
                <c:ptCount val="1"/>
                <c:pt idx="0">
                  <c:v>2021</c:v>
                </c:pt>
              </c:strCache>
            </c:strRef>
          </c:tx>
          <c:spPr>
            <a:solidFill>
              <a:srgbClr val="9BBB59"/>
            </a:solidFill>
            <a:ln>
              <a:solidFill>
                <a:sysClr val="windowText" lastClr="000000"/>
              </a:solidFill>
            </a:ln>
            <a:effectLst>
              <a:outerShdw blurRad="50800" dist="38100" dir="18900000" algn="bl" rotWithShape="0">
                <a:prstClr val="black">
                  <a:alpha val="40000"/>
                </a:prstClr>
              </a:outerShdw>
            </a:effectLst>
          </c:spPr>
          <c:invertIfNegative val="0"/>
          <c:dPt>
            <c:idx val="0"/>
            <c:invertIfNegative val="0"/>
            <c:bubble3D val="0"/>
            <c:spPr>
              <a:solidFill>
                <a:srgbClr val="9BBB59">
                  <a:lumMod val="60000"/>
                  <a:lumOff val="40000"/>
                </a:srgbClr>
              </a:solidFill>
              <a:ln>
                <a:solidFill>
                  <a:sysClr val="windowText" lastClr="000000"/>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A667-4492-9669-3A5FD083E581}"/>
              </c:ext>
            </c:extLst>
          </c:dPt>
          <c:dLbls>
            <c:dLbl>
              <c:idx val="0"/>
              <c:layout>
                <c:manualLayout>
                  <c:x val="-3.9625851215950815E-3"/>
                  <c:y val="-9.934979718444285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67-4492-9669-3A5FD083E581}"/>
                </c:ext>
              </c:extLst>
            </c:dLbl>
            <c:dLbl>
              <c:idx val="1"/>
              <c:layout>
                <c:manualLayout>
                  <c:x val="3.2767439650568024E-7"/>
                  <c:y val="4.6828293345958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667-4492-9669-3A5FD083E58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accent3">
                        <a:lumMod val="75000"/>
                      </a:schemeClr>
                    </a:solidFill>
                    <a:latin typeface="+mn-lt"/>
                    <a:ea typeface="+mn-ea"/>
                    <a:cs typeface="+mn-cs"/>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Hoja1!$A$2:$A$7</c:f>
              <c:strCache>
                <c:ptCount val="6"/>
                <c:pt idx="0">
                  <c:v>Impuestos Totales</c:v>
                </c:pt>
                <c:pt idx="1">
                  <c:v>Impuestos sobre los bienes y servicios </c:v>
                </c:pt>
                <c:pt idx="2">
                  <c:v>Impuestos sobre el ingreso, las utilidades y las ganancias de capital </c:v>
                </c:pt>
                <c:pt idx="3">
                  <c:v>Impuestos sobre el comercio y las transacciones internacionales </c:v>
                </c:pt>
                <c:pt idx="4">
                  <c:v>Otros impuestos </c:v>
                </c:pt>
                <c:pt idx="5">
                  <c:v>Impuestos sobre la propiedad </c:v>
                </c:pt>
              </c:strCache>
            </c:strRef>
          </c:cat>
          <c:val>
            <c:numRef>
              <c:f>Hoja1!$C$2:$C$7</c:f>
              <c:numCache>
                <c:formatCode>_(* #,##0.00_);_(* \(#,##0.00\);_(* "-"??_);_(@_)</c:formatCode>
                <c:ptCount val="6"/>
                <c:pt idx="0">
                  <c:v>3284.1564620600002</c:v>
                </c:pt>
                <c:pt idx="1">
                  <c:v>1928.7223700600007</c:v>
                </c:pt>
                <c:pt idx="2">
                  <c:v>1266.2728948199992</c:v>
                </c:pt>
                <c:pt idx="3">
                  <c:v>61.453402840000081</c:v>
                </c:pt>
                <c:pt idx="4">
                  <c:v>26.723155660000003</c:v>
                </c:pt>
                <c:pt idx="5">
                  <c:v>0.98463868000000065</c:v>
                </c:pt>
              </c:numCache>
            </c:numRef>
          </c:val>
          <c:extLst>
            <c:ext xmlns:c16="http://schemas.microsoft.com/office/drawing/2014/chart" uri="{C3380CC4-5D6E-409C-BE32-E72D297353CC}">
              <c16:uniqueId val="{00000007-A667-4492-9669-3A5FD083E581}"/>
            </c:ext>
          </c:extLst>
        </c:ser>
        <c:dLbls>
          <c:showLegendKey val="0"/>
          <c:showVal val="0"/>
          <c:showCatName val="0"/>
          <c:showSerName val="0"/>
          <c:showPercent val="0"/>
          <c:showBubbleSize val="0"/>
        </c:dLbls>
        <c:gapWidth val="247"/>
        <c:axId val="1916956256"/>
        <c:axId val="1924152624"/>
      </c:barChart>
      <c:catAx>
        <c:axId val="1916956256"/>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 sourceLinked="0"/>
        <c:majorTickMark val="out"/>
        <c:minorTickMark val="none"/>
        <c:tickLblPos val="low"/>
        <c:spPr>
          <a:noFill/>
          <a:ln w="9525" cap="flat" cmpd="sng" algn="ctr">
            <a:solidFill>
              <a:schemeClr val="dk1">
                <a:lumMod val="15000"/>
                <a:lumOff val="85000"/>
              </a:schemeClr>
            </a:solidFill>
            <a:round/>
          </a:ln>
          <a:effectLst/>
        </c:spPr>
        <c:txPr>
          <a:bodyPr rot="0" spcFirstLastPara="1" vertOverflow="ellipsis" wrap="square" anchor="ctr" anchorCtr="0"/>
          <a:lstStyle/>
          <a:p>
            <a:pPr>
              <a:defRPr sz="9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1924152624"/>
        <c:crosses val="autoZero"/>
        <c:auto val="1"/>
        <c:lblAlgn val="ctr"/>
        <c:lblOffset val="100"/>
        <c:noMultiLvlLbl val="0"/>
      </c:catAx>
      <c:valAx>
        <c:axId val="1924152624"/>
        <c:scaling>
          <c:orientation val="minMax"/>
        </c:scaling>
        <c:delete val="1"/>
        <c:axPos val="b"/>
        <c:numFmt formatCode="_(* #,##0.00_);_(* \(#,##0.00\);_(* &quot;-&quot;??_);_(@_)" sourceLinked="1"/>
        <c:majorTickMark val="out"/>
        <c:minorTickMark val="none"/>
        <c:tickLblPos val="nextTo"/>
        <c:crossAx val="1916956256"/>
        <c:crosses val="autoZero"/>
        <c:crossBetween val="between"/>
      </c:valAx>
      <c:spPr>
        <a:pattFill prst="ltDnDiag">
          <a:fgClr>
            <a:schemeClr val="dk1">
              <a:lumMod val="15000"/>
              <a:lumOff val="85000"/>
            </a:schemeClr>
          </a:fgClr>
          <a:bgClr>
            <a:schemeClr val="lt1"/>
          </a:bgClr>
        </a:pattFill>
        <a:ln>
          <a:noFill/>
        </a:ln>
        <a:effectLst/>
      </c:spPr>
    </c:plotArea>
    <c:legend>
      <c:legendPos val="r"/>
      <c:layout>
        <c:manualLayout>
          <c:xMode val="edge"/>
          <c:yMode val="edge"/>
          <c:x val="0.6895272991866116"/>
          <c:y val="0.10896684888911179"/>
          <c:w val="0.26273621228058097"/>
          <c:h val="6.877258973201599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100" b="1" i="0" baseline="0">
                <a:solidFill>
                  <a:sysClr val="windowText" lastClr="000000"/>
                </a:solidFill>
                <a:effectLst/>
              </a:rPr>
              <a:t>Gasto Total</a:t>
            </a:r>
            <a:endParaRPr lang="es-GT" sz="1100" b="1">
              <a:solidFill>
                <a:sysClr val="windowText" lastClr="000000"/>
              </a:solidFill>
              <a:effectLst/>
            </a:endParaRPr>
          </a:p>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050" b="1" i="0" baseline="0">
                <a:solidFill>
                  <a:sysClr val="windowText" lastClr="000000"/>
                </a:solidFill>
                <a:effectLst/>
              </a:rPr>
              <a:t>Variación internanual acumulada </a:t>
            </a:r>
          </a:p>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050" b="1" i="0" baseline="0">
                <a:solidFill>
                  <a:sysClr val="windowText" lastClr="000000"/>
                </a:solidFill>
                <a:effectLst/>
              </a:rPr>
              <a:t>al 31 de marzo de cada año</a:t>
            </a:r>
            <a:endParaRPr lang="es-GT" sz="1050" b="1">
              <a:solidFill>
                <a:sysClr val="windowText" lastClr="000000"/>
              </a:solidFill>
              <a:effectLst/>
            </a:endParaRPr>
          </a:p>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US" sz="1000" b="0" i="0" baseline="0">
                <a:solidFill>
                  <a:sysClr val="windowText" lastClr="000000"/>
                </a:solidFill>
                <a:effectLst/>
              </a:rPr>
              <a:t>En porcentaje</a:t>
            </a:r>
            <a:endParaRPr lang="es-GT" sz="1000" b="0">
              <a:solidFill>
                <a:sysClr val="windowText" lastClr="000000"/>
              </a:solidFill>
            </a:endParaRPr>
          </a:p>
        </c:rich>
      </c:tx>
      <c:layout>
        <c:manualLayout>
          <c:xMode val="edge"/>
          <c:yMode val="edge"/>
          <c:x val="0.16336655592469546"/>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9.3071389332147439E-2"/>
          <c:y val="0.20069497870143282"/>
          <c:w val="0.90692861066785257"/>
          <c:h val="0.59072936983794455"/>
        </c:manualLayout>
      </c:layout>
      <c:barChart>
        <c:barDir val="col"/>
        <c:grouping val="clustered"/>
        <c:varyColors val="0"/>
        <c:ser>
          <c:idx val="0"/>
          <c:order val="1"/>
          <c:tx>
            <c:strRef>
              <c:f>Hoja1!$C$1</c:f>
              <c:strCache>
                <c:ptCount val="1"/>
                <c:pt idx="0">
                  <c:v>2021</c:v>
                </c:pt>
              </c:strCache>
            </c:strRef>
          </c:tx>
          <c:spPr>
            <a:solidFill>
              <a:srgbClr val="C0504D"/>
            </a:solidFill>
            <a:ln w="9525" cap="flat" cmpd="sng" algn="ctr">
              <a:solidFill>
                <a:sysClr val="windowText" lastClr="000000"/>
              </a:solidFill>
              <a:round/>
              <a:tailEnd type="triangle"/>
            </a:ln>
            <a:effectLst>
              <a:outerShdw blurRad="50800" dist="38100" dir="18900000" algn="bl" rotWithShape="0">
                <a:prstClr val="black">
                  <a:alpha val="40000"/>
                </a:prstClr>
              </a:outerShdw>
            </a:effectLst>
          </c:spPr>
          <c:invertIfNegative val="0"/>
          <c:dLbls>
            <c:dLbl>
              <c:idx val="0"/>
              <c:layout>
                <c:manualLayout>
                  <c:x val="-4.5745328345584708E-2"/>
                  <c:y val="-1.05795949818199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F5-45E4-925D-807B206F1490}"/>
                </c:ext>
              </c:extLst>
            </c:dLbl>
            <c:dLbl>
              <c:idx val="1"/>
              <c:layout>
                <c:manualLayout>
                  <c:x val="-2.3723302229667711E-3"/>
                  <c:y val="-2.05467923066993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F5-45E4-925D-807B206F1490}"/>
                </c:ext>
              </c:extLst>
            </c:dLbl>
            <c:dLbl>
              <c:idx val="5"/>
              <c:layout>
                <c:manualLayout>
                  <c:x val="-1.6365205576923713E-16"/>
                  <c:y val="-7.549759780370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F5-45E4-925D-807B206F1490}"/>
                </c:ext>
              </c:extLst>
            </c:dLbl>
            <c:dLbl>
              <c:idx val="7"/>
              <c:layout>
                <c:manualLayout>
                  <c:x val="2.1266839815435269E-3"/>
                  <c:y val="-7.958693687879178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1D-4AC6-8713-E18D74BE5E81}"/>
                </c:ext>
              </c:extLst>
            </c:dLbl>
            <c:dLbl>
              <c:idx val="8"/>
              <c:layout>
                <c:manualLayout>
                  <c:x val="-2.1983033615832E-3"/>
                  <c:y val="-2.80228905813006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1D-4AC6-8713-E18D74BE5E81}"/>
                </c:ext>
              </c:extLst>
            </c:dLbl>
            <c:dLbl>
              <c:idx val="9"/>
              <c:layout>
                <c:manualLayout>
                  <c:x val="0"/>
                  <c:y val="-1.06112473645712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0A-4D11-A436-5D5F21E01012}"/>
                </c:ext>
              </c:extLst>
            </c:dLbl>
            <c:spPr>
              <a:noFill/>
              <a:ln>
                <a:noFill/>
              </a:ln>
              <a:effectLst/>
            </c:spPr>
            <c:txPr>
              <a:bodyPr rot="0" spcFirstLastPara="1" vertOverflow="ellipsis" vert="horz" wrap="square" anchor="ctr" anchorCtr="1"/>
              <a:lstStyle/>
              <a:p>
                <a:pPr>
                  <a:defRPr sz="800" b="0" i="0" u="none" strike="noStrike" kern="1200" baseline="0">
                    <a:solidFill>
                      <a:srgbClr val="C0504D"/>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Enero</c:v>
                </c:pt>
                <c:pt idx="1">
                  <c:v>Febrero</c:v>
                </c:pt>
                <c:pt idx="2">
                  <c:v>Marzo</c:v>
                </c:pt>
              </c:strCache>
            </c:strRef>
          </c:cat>
          <c:val>
            <c:numRef>
              <c:f>Hoja1!$C$2:$C$4</c:f>
              <c:numCache>
                <c:formatCode>_-* #,##0.0_-;\-* #,##0.0_-;_-* "-"??_-;_-@_-</c:formatCode>
                <c:ptCount val="3"/>
                <c:pt idx="0">
                  <c:v>3.4909704848578249</c:v>
                </c:pt>
                <c:pt idx="1">
                  <c:v>4.8023061086179375</c:v>
                </c:pt>
                <c:pt idx="2">
                  <c:v>-0.1099249986598938</c:v>
                </c:pt>
              </c:numCache>
            </c:numRef>
          </c:val>
          <c:extLst>
            <c:ext xmlns:c16="http://schemas.microsoft.com/office/drawing/2014/chart" uri="{C3380CC4-5D6E-409C-BE32-E72D297353CC}">
              <c16:uniqueId val="{00000001-6BF2-4B79-BA3C-8105E40095DF}"/>
            </c:ext>
          </c:extLst>
        </c:ser>
        <c:dLbls>
          <c:dLblPos val="ctr"/>
          <c:showLegendKey val="0"/>
          <c:showVal val="1"/>
          <c:showCatName val="0"/>
          <c:showSerName val="0"/>
          <c:showPercent val="0"/>
          <c:showBubbleSize val="0"/>
        </c:dLbls>
        <c:gapWidth val="73"/>
        <c:axId val="1509281743"/>
        <c:axId val="344873055"/>
      </c:barChart>
      <c:lineChart>
        <c:grouping val="standard"/>
        <c:varyColors val="0"/>
        <c:ser>
          <c:idx val="2"/>
          <c:order val="0"/>
          <c:tx>
            <c:strRef>
              <c:f>Hoja1!$B$1</c:f>
              <c:strCache>
                <c:ptCount val="1"/>
                <c:pt idx="0">
                  <c:v>2022*</c:v>
                </c:pt>
              </c:strCache>
            </c:strRef>
          </c:tx>
          <c:spPr>
            <a:ln w="31750" cap="rnd" cmpd="sng" algn="ctr">
              <a:solidFill>
                <a:schemeClr val="accent4"/>
              </a:solidFill>
              <a:round/>
              <a:tailEnd type="triangle"/>
            </a:ln>
            <a:effectLst>
              <a:outerShdw blurRad="50800" dist="38100" dir="18900000" algn="bl" rotWithShape="0">
                <a:prstClr val="black">
                  <a:alpha val="40000"/>
                </a:prstClr>
              </a:outerShdw>
            </a:effectLst>
          </c:spPr>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dPt>
            <c:idx val="8"/>
            <c:marker>
              <c:symbol val="circle"/>
              <c:size val="6"/>
              <c:spPr>
                <a:solidFill>
                  <a:sysClr val="window" lastClr="FFFFFF"/>
                </a:solidFill>
                <a:ln w="9525" cap="flat" cmpd="sng" algn="ctr">
                  <a:solidFill>
                    <a:sysClr val="windowText" lastClr="000000"/>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2-2E1D-4AC6-8713-E18D74BE5E81}"/>
              </c:ext>
            </c:extLst>
          </c:dPt>
          <c:dPt>
            <c:idx val="11"/>
            <c:marker>
              <c:symbol val="none"/>
            </c:marker>
            <c:bubble3D val="0"/>
            <c:extLst>
              <c:ext xmlns:c16="http://schemas.microsoft.com/office/drawing/2014/chart" uri="{C3380CC4-5D6E-409C-BE32-E72D297353CC}">
                <c16:uniqueId val="{00000004-6C0A-4D11-A436-5D5F21E01012}"/>
              </c:ext>
            </c:extLst>
          </c:dPt>
          <c:dLbls>
            <c:dLbl>
              <c:idx val="0"/>
              <c:layout>
                <c:manualLayout>
                  <c:x val="-4.3509843548699162E-2"/>
                  <c:y val="-6.92820446624499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F5-45E4-925D-807B206F1490}"/>
                </c:ext>
              </c:extLst>
            </c:dLbl>
            <c:dLbl>
              <c:idx val="1"/>
              <c:layout>
                <c:manualLayout>
                  <c:x val="-3.4217105506871758E-2"/>
                  <c:y val="-8.38600748676907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4A6-450C-9CFD-E2045ED58350}"/>
                </c:ext>
              </c:extLst>
            </c:dLbl>
            <c:dLbl>
              <c:idx val="2"/>
              <c:layout>
                <c:manualLayout>
                  <c:x val="-7.0099144583671225E-2"/>
                  <c:y val="-8.42197018950612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F5-45E4-925D-807B206F1490}"/>
                </c:ext>
              </c:extLst>
            </c:dLbl>
            <c:dLbl>
              <c:idx val="5"/>
              <c:layout>
                <c:manualLayout>
                  <c:x val="-3.2731538458372338E-2"/>
                  <c:y val="-0.1372170191148892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F5-45E4-925D-807B206F1490}"/>
                </c:ext>
              </c:extLst>
            </c:dLbl>
            <c:spPr>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Enero</c:v>
                </c:pt>
                <c:pt idx="1">
                  <c:v>Febrero</c:v>
                </c:pt>
                <c:pt idx="2">
                  <c:v>Marzo</c:v>
                </c:pt>
              </c:strCache>
            </c:strRef>
          </c:cat>
          <c:val>
            <c:numRef>
              <c:f>Hoja1!$B$2:$B$4</c:f>
              <c:numCache>
                <c:formatCode>_-* #,##0.0_-;\-* #,##0.0_-;_-* "-"??_-;_-@_-</c:formatCode>
                <c:ptCount val="3"/>
                <c:pt idx="0">
                  <c:v>7.2310906350212312</c:v>
                </c:pt>
                <c:pt idx="1">
                  <c:v>15.178299981311572</c:v>
                </c:pt>
                <c:pt idx="2">
                  <c:v>17.818086526645583</c:v>
                </c:pt>
              </c:numCache>
            </c:numRef>
          </c:val>
          <c:smooth val="1"/>
          <c:extLst>
            <c:ext xmlns:c16="http://schemas.microsoft.com/office/drawing/2014/chart" uri="{C3380CC4-5D6E-409C-BE32-E72D297353CC}">
              <c16:uniqueId val="{00000000-6BF2-4B79-BA3C-8105E40095DF}"/>
            </c:ext>
          </c:extLst>
        </c:ser>
        <c:dLbls>
          <c:showLegendKey val="0"/>
          <c:showVal val="0"/>
          <c:showCatName val="0"/>
          <c:showSerName val="0"/>
          <c:showPercent val="0"/>
          <c:showBubbleSize val="0"/>
        </c:dLbls>
        <c:marker val="1"/>
        <c:smooth val="0"/>
        <c:axId val="1509281743"/>
        <c:axId val="344873055"/>
      </c:lineChart>
      <c:catAx>
        <c:axId val="1509281743"/>
        <c:scaling>
          <c:orientation val="minMax"/>
        </c:scaling>
        <c:delete val="0"/>
        <c:axPos val="b"/>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44873055"/>
        <c:crosses val="autoZero"/>
        <c:auto val="1"/>
        <c:lblAlgn val="ctr"/>
        <c:lblOffset val="100"/>
        <c:noMultiLvlLbl val="0"/>
      </c:catAx>
      <c:valAx>
        <c:axId val="344873055"/>
        <c:scaling>
          <c:orientation val="minMax"/>
          <c:min val="-3"/>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09281743"/>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53163191810326027"/>
          <c:y val="0.90799248717763492"/>
          <c:w val="0.4267094486431775"/>
          <c:h val="9.04008793772573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0" baseline="0">
                <a:effectLst/>
              </a:rPr>
              <a:t>Gasto Total por clasificación MEFP</a:t>
            </a:r>
            <a:endParaRPr lang="es-GT" sz="1200">
              <a:effectLst/>
            </a:endParaRPr>
          </a:p>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0" baseline="0">
                <a:effectLst/>
              </a:rPr>
              <a:t>Variación interanual acumulada a marzo 2022*</a:t>
            </a:r>
            <a:endParaRPr lang="es-GT" sz="1100">
              <a:effectLst/>
            </a:endParaRPr>
          </a:p>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i="0" baseline="0">
                <a:effectLst/>
              </a:rPr>
              <a:t>En millones de Quetzales</a:t>
            </a:r>
            <a:endParaRPr lang="es-GT" sz="1000">
              <a:effectLst/>
            </a:endParaRPr>
          </a:p>
        </c:rich>
      </c:tx>
      <c:layout>
        <c:manualLayout>
          <c:xMode val="edge"/>
          <c:yMode val="edge"/>
          <c:x val="0.26532591931163246"/>
          <c:y val="0"/>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title>
    <c:autoTitleDeleted val="0"/>
    <c:plotArea>
      <c:layout>
        <c:manualLayout>
          <c:layoutTarget val="inner"/>
          <c:xMode val="edge"/>
          <c:yMode val="edge"/>
          <c:x val="0"/>
          <c:y val="0.22923166655450117"/>
          <c:w val="1"/>
          <c:h val="0.54464140700361174"/>
        </c:manualLayout>
      </c:layout>
      <c:barChart>
        <c:barDir val="col"/>
        <c:grouping val="clustered"/>
        <c:varyColors val="0"/>
        <c:ser>
          <c:idx val="0"/>
          <c:order val="0"/>
          <c:tx>
            <c:strRef>
              <c:f>Hoja1!$B$1</c:f>
              <c:strCache>
                <c:ptCount val="1"/>
                <c:pt idx="0">
                  <c:v>2022*</c:v>
                </c:pt>
              </c:strCache>
            </c:strRef>
          </c:tx>
          <c:spPr>
            <a:solidFill>
              <a:srgbClr val="70AD47"/>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invertIfNegative val="1"/>
          <c:dPt>
            <c:idx val="0"/>
            <c:invertIfNegative val="0"/>
            <c:bubble3D val="0"/>
            <c:spPr>
              <a:solidFill>
                <a:srgbClr val="C0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spPr>
            <c:extLst>
              <c:ext xmlns:c16="http://schemas.microsoft.com/office/drawing/2014/chart" uri="{C3380CC4-5D6E-409C-BE32-E72D297353CC}">
                <c16:uniqueId val="{00000001-F27A-4BCF-9CA4-4AFC2CE6DAEE}"/>
              </c:ext>
            </c:extLst>
          </c:dPt>
          <c:dLbls>
            <c:dLbl>
              <c:idx val="0"/>
              <c:spPr>
                <a:noFill/>
                <a:ln>
                  <a:noFill/>
                </a:ln>
                <a:effectLst/>
              </c:spPr>
              <c:txPr>
                <a:bodyPr rot="0" spcFirstLastPara="1" vertOverflow="ellipsis" vert="horz" wrap="square" anchor="ctr" anchorCtr="1"/>
                <a:lstStyle/>
                <a:p>
                  <a:pPr>
                    <a:defRPr sz="8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1-F27A-4BCF-9CA4-4AFC2CE6DAEE}"/>
                </c:ext>
              </c:extLst>
            </c:dLbl>
            <c:dLbl>
              <c:idx val="7"/>
              <c:layout>
                <c:manualLayout>
                  <c:x val="0"/>
                  <c:y val="1.2405705554215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27A-4BCF-9CA4-4AFC2CE6DAEE}"/>
                </c:ext>
              </c:extLst>
            </c:dLbl>
            <c:spPr>
              <a:noFill/>
              <a:ln>
                <a:noFill/>
              </a:ln>
              <a:effectLst/>
            </c:spPr>
            <c:txPr>
              <a:bodyPr rot="0" spcFirstLastPara="1" vertOverflow="ellipsis" vert="horz" wrap="square" anchor="ctr" anchorCtr="1"/>
              <a:lstStyle/>
              <a:p>
                <a:pPr>
                  <a:defRPr sz="800" b="0" i="0" u="none" strike="noStrike" kern="1200" baseline="0">
                    <a:solidFill>
                      <a:schemeClr val="accent3"/>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Hoja1!$A$2:$A$9</c:f>
              <c:strCache>
                <c:ptCount val="8"/>
                <c:pt idx="0">
                  <c:v>Gasto total</c:v>
                </c:pt>
                <c:pt idx="1">
                  <c:v>Donaciones </c:v>
                </c:pt>
                <c:pt idx="2">
                  <c:v>Uso de bienes y servicios  </c:v>
                </c:pt>
                <c:pt idx="3">
                  <c:v>Otros gastos </c:v>
                </c:pt>
                <c:pt idx="4">
                  <c:v>Intereses </c:v>
                </c:pt>
                <c:pt idx="5">
                  <c:v>Remuneración a los empleados </c:v>
                </c:pt>
                <c:pt idx="6">
                  <c:v>Subsidios </c:v>
                </c:pt>
                <c:pt idx="7">
                  <c:v>Prestaciones sociales </c:v>
                </c:pt>
              </c:strCache>
            </c:strRef>
          </c:cat>
          <c:val>
            <c:numRef>
              <c:f>Hoja1!$B$2:$B$9</c:f>
              <c:numCache>
                <c:formatCode>#,##0.0_ ;[Red]\-#,##0.0\ </c:formatCode>
                <c:ptCount val="8"/>
                <c:pt idx="0">
                  <c:v>3066.6129249200012</c:v>
                </c:pt>
                <c:pt idx="1">
                  <c:v>1258.5033812000001</c:v>
                </c:pt>
                <c:pt idx="2">
                  <c:v>813.56399558000021</c:v>
                </c:pt>
                <c:pt idx="3">
                  <c:v>313.52954556999998</c:v>
                </c:pt>
                <c:pt idx="4">
                  <c:v>243.32385357000021</c:v>
                </c:pt>
                <c:pt idx="5">
                  <c:v>210.75532858000042</c:v>
                </c:pt>
                <c:pt idx="6">
                  <c:v>149.77344499999998</c:v>
                </c:pt>
                <c:pt idx="7">
                  <c:v>77.163375420000193</c:v>
                </c:pt>
              </c:numCache>
            </c:numRef>
          </c:val>
          <c:extLst>
            <c:ext xmlns:c14="http://schemas.microsoft.com/office/drawing/2007/8/2/chart" uri="{6F2FDCE9-48DA-4B69-8628-5D25D57E5C99}">
              <c14:invertSolidFillFmt>
                <c14:spPr xmlns:c14="http://schemas.microsoft.com/office/drawing/2007/8/2/chart">
                  <a:solidFill>
                    <a:srgbClr val="FF0000"/>
                  </a:solidFill>
                  <a:ln>
                    <a:solidFill>
                      <a:sysClr val="windowText" lastClr="000000"/>
                    </a:solidFill>
                  </a:ln>
                  <a:effectLst>
                    <a:outerShdw blurRad="50800" dist="38100" dir="18900000" algn="bl" rotWithShape="0">
                      <a:prstClr val="black">
                        <a:alpha val="40000"/>
                      </a:prstClr>
                    </a:outerShdw>
                  </a:effectLst>
                  <a:scene3d>
                    <a:camera prst="orthographicFront"/>
                    <a:lightRig rig="threePt" dir="t">
                      <a:rot lat="0" lon="0" rev="1200000"/>
                    </a:lightRig>
                  </a:scene3d>
                  <a:sp3d/>
                </c14:spPr>
              </c14:invertSolidFillFmt>
            </c:ext>
            <c:ext xmlns:c16="http://schemas.microsoft.com/office/drawing/2014/chart" uri="{C3380CC4-5D6E-409C-BE32-E72D297353CC}">
              <c16:uniqueId val="{00000009-F27A-4BCF-9CA4-4AFC2CE6DAEE}"/>
            </c:ext>
          </c:extLst>
        </c:ser>
        <c:dLbls>
          <c:showLegendKey val="0"/>
          <c:showVal val="0"/>
          <c:showCatName val="0"/>
          <c:showSerName val="0"/>
          <c:showPercent val="0"/>
          <c:showBubbleSize val="0"/>
        </c:dLbls>
        <c:gapWidth val="100"/>
        <c:overlap val="-24"/>
        <c:axId val="596122768"/>
        <c:axId val="317412256"/>
      </c:barChart>
      <c:catAx>
        <c:axId val="596122768"/>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317412256"/>
        <c:crosses val="autoZero"/>
        <c:auto val="0"/>
        <c:lblAlgn val="ctr"/>
        <c:lblOffset val="100"/>
        <c:noMultiLvlLbl val="0"/>
      </c:catAx>
      <c:valAx>
        <c:axId val="317412256"/>
        <c:scaling>
          <c:orientation val="minMax"/>
        </c:scaling>
        <c:delete val="1"/>
        <c:axPos val="l"/>
        <c:numFmt formatCode="#,##0.0_ ;[Red]\-#,##0.0\ " sourceLinked="1"/>
        <c:majorTickMark val="none"/>
        <c:minorTickMark val="none"/>
        <c:tickLblPos val="nextTo"/>
        <c:crossAx val="596122768"/>
        <c:crosses val="autoZero"/>
        <c:crossBetween val="between"/>
      </c:valAx>
      <c:spPr>
        <a:gradFill>
          <a:gsLst>
            <a:gs pos="0">
              <a:schemeClr val="accent1">
                <a:lumMod val="5000"/>
                <a:lumOff val="95000"/>
              </a:schemeClr>
            </a:gs>
            <a:gs pos="56000">
              <a:schemeClr val="bg1">
                <a:lumMod val="95000"/>
              </a:schemeClr>
            </a:gs>
            <a:gs pos="100000">
              <a:schemeClr val="bg1"/>
            </a:gs>
          </a:gsLst>
          <a:lin ang="5400000" scaled="1"/>
        </a:grad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200" b="1" i="0" baseline="0">
                <a:solidFill>
                  <a:sysClr val="windowText" lastClr="000000"/>
                </a:solidFill>
                <a:effectLst/>
              </a:rPr>
              <a:t>Inversión bruta en activos no financieros</a:t>
            </a:r>
            <a:endParaRPr lang="es-GT" sz="1200">
              <a:solidFill>
                <a:sysClr val="windowText" lastClr="000000"/>
              </a:solidFill>
              <a:effectLst/>
            </a:endParaRP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100" b="1" i="0" baseline="0">
                <a:solidFill>
                  <a:sysClr val="windowText" lastClr="000000"/>
                </a:solidFill>
                <a:effectLst/>
              </a:rPr>
              <a:t>Cifra acumulada a marzo de cada año</a:t>
            </a:r>
            <a:endParaRPr lang="es-GT" sz="1100">
              <a:solidFill>
                <a:sysClr val="windowText" lastClr="000000"/>
              </a:solidFill>
              <a:effectLst/>
            </a:endParaRPr>
          </a:p>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sz="1000" b="0" i="0" baseline="0">
                <a:solidFill>
                  <a:sysClr val="windowText" lastClr="000000"/>
                </a:solidFill>
                <a:effectLst/>
              </a:rPr>
              <a:t>En millones de Quetzales</a:t>
            </a:r>
            <a:endParaRPr lang="es-GT" sz="1000">
              <a:solidFill>
                <a:sysClr val="windowText" lastClr="000000"/>
              </a:solidFill>
              <a:effectLst/>
            </a:endParaRPr>
          </a:p>
        </c:rich>
      </c:tx>
      <c:layout>
        <c:manualLayout>
          <c:xMode val="edge"/>
          <c:yMode val="edge"/>
          <c:x val="0.24667278760405448"/>
          <c:y val="0"/>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8373292123531287"/>
          <c:w val="1"/>
          <c:h val="0.62978912682643629"/>
        </c:manualLayout>
      </c:layout>
      <c:barChart>
        <c:barDir val="col"/>
        <c:grouping val="clustered"/>
        <c:varyColors val="0"/>
        <c:ser>
          <c:idx val="0"/>
          <c:order val="0"/>
          <c:tx>
            <c:strRef>
              <c:f>Hoja1!$A$2</c:f>
              <c:strCache>
                <c:ptCount val="1"/>
                <c:pt idx="0">
                  <c:v>Inversión neta/bruta en activos no financieros </c:v>
                </c:pt>
              </c:strCache>
            </c:strRef>
          </c:tx>
          <c:spPr>
            <a:solidFill>
              <a:schemeClr val="accent3">
                <a:lumMod val="60000"/>
                <a:lumOff val="40000"/>
              </a:schemeClr>
            </a:solidFill>
            <a:ln>
              <a:solidFill>
                <a:sysClr val="windowText" lastClr="000000"/>
              </a:solidFill>
            </a:ln>
            <a:effectLst>
              <a:outerShdw blurRad="50800" dist="38100" dir="18900000" algn="b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Hoja1!$B$1:$F$1</c:f>
              <c:strCache>
                <c:ptCount val="5"/>
                <c:pt idx="0">
                  <c:v>2022*</c:v>
                </c:pt>
                <c:pt idx="1">
                  <c:v>2021</c:v>
                </c:pt>
                <c:pt idx="2">
                  <c:v>2020</c:v>
                </c:pt>
                <c:pt idx="3">
                  <c:v>2019</c:v>
                </c:pt>
                <c:pt idx="4">
                  <c:v>2018</c:v>
                </c:pt>
              </c:strCache>
            </c:strRef>
          </c:cat>
          <c:val>
            <c:numRef>
              <c:f>Hoja1!$B$2:$F$2</c:f>
              <c:numCache>
                <c:formatCode>#,##0.0_ ;[Red]\-#,##0.0\ </c:formatCode>
                <c:ptCount val="5"/>
                <c:pt idx="0">
                  <c:v>806.88705268000001</c:v>
                </c:pt>
                <c:pt idx="1">
                  <c:v>485.68249923999997</c:v>
                </c:pt>
                <c:pt idx="2">
                  <c:v>204.11935751999999</c:v>
                </c:pt>
                <c:pt idx="3">
                  <c:v>97.190894950000001</c:v>
                </c:pt>
                <c:pt idx="4">
                  <c:v>69.331830570000008</c:v>
                </c:pt>
              </c:numCache>
            </c:numRef>
          </c:val>
          <c:extLst>
            <c:ext xmlns:c16="http://schemas.microsoft.com/office/drawing/2014/chart" uri="{C3380CC4-5D6E-409C-BE32-E72D297353CC}">
              <c16:uniqueId val="{00000000-DA71-44C7-96E0-50CBD3BBB971}"/>
            </c:ext>
          </c:extLst>
        </c:ser>
        <c:dLbls>
          <c:showLegendKey val="0"/>
          <c:showVal val="0"/>
          <c:showCatName val="0"/>
          <c:showSerName val="0"/>
          <c:showPercent val="0"/>
          <c:showBubbleSize val="0"/>
        </c:dLbls>
        <c:gapWidth val="267"/>
        <c:overlap val="-43"/>
        <c:axId val="1557017296"/>
        <c:axId val="470887616"/>
      </c:barChart>
      <c:catAx>
        <c:axId val="1557017296"/>
        <c:scaling>
          <c:orientation val="maxMin"/>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470887616"/>
        <c:crosses val="autoZero"/>
        <c:auto val="1"/>
        <c:lblAlgn val="ctr"/>
        <c:lblOffset val="100"/>
        <c:noMultiLvlLbl val="0"/>
      </c:catAx>
      <c:valAx>
        <c:axId val="470887616"/>
        <c:scaling>
          <c:orientation val="minMax"/>
        </c:scaling>
        <c:delete val="1"/>
        <c:axPos val="r"/>
        <c:majorGridlines>
          <c:spPr>
            <a:ln w="9525" cap="flat" cmpd="sng" algn="ctr">
              <a:solidFill>
                <a:schemeClr val="dk1">
                  <a:lumMod val="15000"/>
                  <a:lumOff val="85000"/>
                </a:schemeClr>
              </a:solidFill>
              <a:round/>
            </a:ln>
            <a:effectLst/>
          </c:spPr>
        </c:majorGridlines>
        <c:numFmt formatCode="#,##0.0_ ;[Red]\-#,##0.0\ " sourceLinked="1"/>
        <c:majorTickMark val="none"/>
        <c:minorTickMark val="none"/>
        <c:tickLblPos val="nextTo"/>
        <c:crossAx val="15570172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a:t>Flujo</a:t>
            </a:r>
            <a:r>
              <a:rPr lang="es-GT" baseline="0"/>
              <a:t> mensual  </a:t>
            </a:r>
          </a:p>
        </c:rich>
      </c:tx>
      <c:layout>
        <c:manualLayout>
          <c:xMode val="edge"/>
          <c:yMode val="edge"/>
          <c:x val="0.381879044856059"/>
          <c:y val="3.6825518900942419E-3"/>
        </c:manualLayout>
      </c:layout>
      <c:overlay val="0"/>
      <c:spPr>
        <a:noFill/>
        <a:ln>
          <a:noFill/>
        </a:ln>
        <a:effectLst/>
      </c:spPr>
      <c:txPr>
        <a:bodyPr rot="0" spcFirstLastPara="1" vertOverflow="ellipsis" vert="horz" wrap="square" anchor="ctr" anchorCtr="1"/>
        <a:lstStyle/>
        <a:p>
          <a:pPr algn="ctr">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11685116851168512"/>
          <c:w val="1"/>
          <c:h val="0.59446679050900442"/>
        </c:manualLayout>
      </c:layout>
      <c:barChart>
        <c:barDir val="col"/>
        <c:grouping val="clustered"/>
        <c:varyColors val="0"/>
        <c:ser>
          <c:idx val="0"/>
          <c:order val="0"/>
          <c:tx>
            <c:strRef>
              <c:f>Hoja1!$A$2</c:f>
              <c:strCache>
                <c:ptCount val="1"/>
                <c:pt idx="0">
                  <c:v>Adquicición neta de activos financieros</c:v>
                </c:pt>
              </c:strCache>
            </c:strRef>
          </c:tx>
          <c:spPr>
            <a:solidFill>
              <a:srgbClr val="9BBB59"/>
            </a:solidFill>
            <a:ln>
              <a:solidFill>
                <a:schemeClr val="tx1"/>
              </a:solidFill>
            </a:ln>
            <a:effectLst>
              <a:outerShdw blurRad="50800" dist="38100" dir="18900000" algn="bl" rotWithShape="0">
                <a:prstClr val="black">
                  <a:alpha val="40000"/>
                </a:prstClr>
              </a:outerShdw>
            </a:effectLst>
          </c:spPr>
          <c:invertIfNegative val="1"/>
          <c:dPt>
            <c:idx val="3"/>
            <c:invertIfNegative val="1"/>
            <c:bubble3D val="0"/>
            <c:spPr>
              <a:solidFill>
                <a:schemeClr val="accent5">
                  <a:lumMod val="50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2F5A-4516-A758-482FB4948230}"/>
              </c:ext>
            </c:extLst>
          </c:dPt>
          <c:dPt>
            <c:idx val="6"/>
            <c:invertIfNegative val="1"/>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785-4700-B38B-76B949A323CB}"/>
              </c:ext>
            </c:extLst>
          </c:dPt>
          <c:dPt>
            <c:idx val="9"/>
            <c:invertIfNegative val="0"/>
            <c:bubble3D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A-7D05-40F5-B5EB-0F479E5F8AF4}"/>
              </c:ext>
            </c:extLst>
          </c:dPt>
          <c:dPt>
            <c:idx val="12"/>
            <c:invertIfNegative val="1"/>
            <c:bubble3D val="0"/>
            <c:spPr>
              <a:solidFill>
                <a:schemeClr val="tx2">
                  <a:lumMod val="75000"/>
                </a:schemeClr>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8-FD50-4E40-8B03-F23CCCAC8D6F}"/>
              </c:ext>
            </c:extLst>
          </c:dPt>
          <c:dLbls>
            <c:dLbl>
              <c:idx val="0"/>
              <c:layout>
                <c:manualLayout>
                  <c:x val="0"/>
                  <c:y val="1.526135062953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5A-4516-A758-482FB494823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5A-4516-A758-482FB494823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5A-4516-A758-482FB4948230}"/>
                </c:ext>
              </c:extLst>
            </c:dLbl>
            <c:dLbl>
              <c:idx val="3"/>
              <c:layout>
                <c:manualLayout>
                  <c:x val="-3.5632889305245458E-17"/>
                  <c:y val="-3.9385584875935409E-2"/>
                </c:manualLayout>
              </c:layout>
              <c:numFmt formatCode="#,##0.0_ ;[Red]\-#,##0.0\ " sourceLinked="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A-4516-A758-482FB494823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785-4700-B38B-76B949A323CB}"/>
                </c:ext>
              </c:extLst>
            </c:dLbl>
            <c:dLbl>
              <c:idx val="5"/>
              <c:layout>
                <c:manualLayout>
                  <c:x val="0"/>
                  <c:y val="-2.3631350925561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785-4700-B38B-76B949A323CB}"/>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785-4700-B38B-76B949A323CB}"/>
                </c:ext>
              </c:extLst>
            </c:dLbl>
            <c:dLbl>
              <c:idx val="7"/>
              <c:layout>
                <c:manualLayout>
                  <c:x val="0"/>
                  <c:y val="1.84501845018450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05-40F5-B5EB-0F479E5F8AF4}"/>
                </c:ext>
              </c:extLst>
            </c:dLbl>
            <c:dLbl>
              <c:idx val="8"/>
              <c:layout>
                <c:manualLayout>
                  <c:x val="4.4632894443203007E-3"/>
                  <c:y val="-6.89030649427978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05-40F5-B5EB-0F479E5F8AF4}"/>
                </c:ext>
              </c:extLst>
            </c:dLbl>
            <c:dLbl>
              <c:idx val="9"/>
              <c:layout>
                <c:manualLayout>
                  <c:x val="-1.6365205576923713E-16"/>
                  <c:y val="-2.46002460024600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05-40F5-B5EB-0F479E5F8AF4}"/>
                </c:ext>
              </c:extLst>
            </c:dLbl>
            <c:dLbl>
              <c:idx val="10"/>
              <c:layout>
                <c:manualLayout>
                  <c:x val="0"/>
                  <c:y val="1.526135062953071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D50-4E40-8B03-F23CCCAC8D6F}"/>
                </c:ext>
              </c:extLst>
            </c:dLbl>
            <c:dLbl>
              <c:idx val="12"/>
              <c:layout>
                <c:manualLayout>
                  <c:x val="0"/>
                  <c:y val="-3.7815844776297011E-1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D50-4E40-8B03-F23CCCAC8D6F}"/>
                </c:ext>
              </c:extLst>
            </c:dLbl>
            <c:numFmt formatCode="#,##0.0_ ;[Red]\-#,##0.0\ " sourceLinked="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Hoja1!$B$1:$E$1</c:f>
              <c:strCache>
                <c:ptCount val="4"/>
                <c:pt idx="0">
                  <c:v>Enero</c:v>
                </c:pt>
                <c:pt idx="1">
                  <c:v>Febrero</c:v>
                </c:pt>
                <c:pt idx="2">
                  <c:v>Marzo</c:v>
                </c:pt>
                <c:pt idx="3">
                  <c:v>Total</c:v>
                </c:pt>
              </c:strCache>
            </c:strRef>
          </c:cat>
          <c:val>
            <c:numRef>
              <c:f>Hoja1!$B$2:$E$2</c:f>
              <c:numCache>
                <c:formatCode>#,##0.00</c:formatCode>
                <c:ptCount val="4"/>
                <c:pt idx="0">
                  <c:v>841.76905004000002</c:v>
                </c:pt>
                <c:pt idx="1">
                  <c:v>-545.51331917000005</c:v>
                </c:pt>
                <c:pt idx="2">
                  <c:v>2225.9630503399999</c:v>
                </c:pt>
                <c:pt idx="3">
                  <c:v>2522.2187812100001</c:v>
                </c:pt>
              </c:numCache>
            </c:numRef>
          </c:val>
          <c:extLst>
            <c:ext xmlns:c14="http://schemas.microsoft.com/office/drawing/2007/8/2/chart" uri="{6F2FDCE9-48DA-4B69-8628-5D25D57E5C99}">
              <c14:invertSolidFillFmt>
                <c14:spPr xmlns:c14="http://schemas.microsoft.com/office/drawing/2007/8/2/chart">
                  <a:solidFill>
                    <a:srgbClr val="C00000"/>
                  </a:solidFill>
                  <a:ln>
                    <a:solidFill>
                      <a:schemeClr val="tx1"/>
                    </a:solidFill>
                  </a:ln>
                  <a:effectLst>
                    <a:outerShdw blurRad="50800" dist="38100" dir="18900000" algn="bl" rotWithShape="0">
                      <a:prstClr val="black">
                        <a:alpha val="40000"/>
                      </a:prstClr>
                    </a:outerShdw>
                  </a:effectLst>
                </c14:spPr>
              </c14:invertSolidFillFmt>
            </c:ex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catAx>
        <c:axId val="152970912"/>
        <c:scaling>
          <c:orientation val="minMax"/>
        </c:scaling>
        <c:delete val="0"/>
        <c:axPos val="b"/>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scaling>
        <c:delete val="0"/>
        <c:axPos val="l"/>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rgbClr val="000000">
              <a:alpha val="0"/>
            </a:srgbClr>
          </a:fgClr>
          <a:bgClr>
            <a:srgbClr val="FFFFFF"/>
          </a:bgClr>
        </a:pattFill>
        <a:ln w="25400">
          <a:noFill/>
        </a:ln>
        <a:effectLst/>
      </c:spPr>
    </c:plotArea>
    <c:plotVisOnly val="1"/>
    <c:dispBlanksAs val="gap"/>
    <c:showDLblsOverMax val="0"/>
    <c:extLst/>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a:t>Por</a:t>
            </a:r>
            <a:r>
              <a:rPr lang="es-GT" sz="1000" baseline="0"/>
              <a:t> tipo de instrumento</a:t>
            </a:r>
          </a:p>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s-GT" sz="1000" baseline="0"/>
              <a:t>Cifra acumulada</a:t>
            </a:r>
            <a:endParaRPr lang="es-GT" sz="1000"/>
          </a:p>
        </c:rich>
      </c:tx>
      <c:layout>
        <c:manualLayout>
          <c:xMode val="edge"/>
          <c:yMode val="edge"/>
          <c:x val="0.22472140909108393"/>
          <c:y val="0"/>
        </c:manualLayout>
      </c:layout>
      <c:overlay val="0"/>
      <c:spPr>
        <a:noFill/>
        <a:ln>
          <a:noFill/>
        </a:ln>
        <a:effectLst/>
      </c:spPr>
      <c:txPr>
        <a:bodyPr rot="0" spcFirstLastPara="1" vertOverflow="ellipsis" vert="horz" wrap="square" anchor="ctr" anchorCtr="1"/>
        <a:lstStyle/>
        <a:p>
          <a:pPr>
            <a:defRPr sz="20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0.29054060821902561"/>
          <c:w val="0.58235517958024763"/>
          <c:h val="0.55354608942433436"/>
        </c:manualLayout>
      </c:layout>
      <c:pieChart>
        <c:varyColors val="1"/>
        <c:ser>
          <c:idx val="0"/>
          <c:order val="0"/>
          <c:tx>
            <c:strRef>
              <c:f>Hoja1!$B$1</c:f>
              <c:strCache>
                <c:ptCount val="1"/>
                <c:pt idx="0">
                  <c:v>Junio</c:v>
                </c:pt>
              </c:strCache>
            </c:strRef>
          </c:tx>
          <c:spPr>
            <a:ln>
              <a:solidFill>
                <a:schemeClr val="tx1"/>
              </a:solidFill>
            </a:ln>
            <a:effectLst>
              <a:outerShdw blurRad="50800" dist="38100" dir="18900000" algn="bl" rotWithShape="0">
                <a:prstClr val="black">
                  <a:alpha val="40000"/>
                </a:prstClr>
              </a:outerShdw>
            </a:effectLst>
          </c:spPr>
          <c:explosion val="2"/>
          <c:dPt>
            <c:idx val="0"/>
            <c:bubble3D val="0"/>
            <c:spPr>
              <a:solidFill>
                <a:schemeClr val="accent1"/>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1-77F2-407C-BE81-289EFBC09B14}"/>
              </c:ext>
            </c:extLst>
          </c:dPt>
          <c:dPt>
            <c:idx val="1"/>
            <c:bubble3D val="0"/>
            <c:spPr>
              <a:solidFill>
                <a:schemeClr val="accent2"/>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3-77F2-407C-BE81-289EFBC09B14}"/>
              </c:ext>
            </c:extLst>
          </c:dPt>
          <c:dPt>
            <c:idx val="2"/>
            <c:bubble3D val="0"/>
            <c:explosion val="0"/>
            <c:spPr>
              <a:solidFill>
                <a:schemeClr val="accent3"/>
              </a:solidFill>
              <a:ln>
                <a:solidFill>
                  <a:schemeClr val="tx1"/>
                </a:solidFill>
              </a:ln>
              <a:effectLst>
                <a:outerShdw blurRad="50800" dist="38100" dir="18900000" algn="bl" rotWithShape="0">
                  <a:prstClr val="black">
                    <a:alpha val="40000"/>
                  </a:prstClr>
                </a:outerShdw>
              </a:effectLst>
            </c:spPr>
            <c:extLst>
              <c:ext xmlns:c16="http://schemas.microsoft.com/office/drawing/2014/chart" uri="{C3380CC4-5D6E-409C-BE32-E72D297353CC}">
                <c16:uniqueId val="{00000005-1B77-4057-BDEF-713810EFA7DF}"/>
              </c:ext>
            </c:extLst>
          </c:dPt>
          <c:dLbls>
            <c:dLbl>
              <c:idx val="0"/>
              <c:layout>
                <c:manualLayout>
                  <c:x val="0.389346173735718"/>
                  <c:y val="-0.2677909165947896"/>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5051468938129946"/>
                      <c:h val="0.17450896376468841"/>
                    </c:manualLayout>
                  </c15:layout>
                </c:ext>
                <c:ext xmlns:c16="http://schemas.microsoft.com/office/drawing/2014/chart" uri="{C3380CC4-5D6E-409C-BE32-E72D297353CC}">
                  <c16:uniqueId val="{00000001-77F2-407C-BE81-289EFBC09B14}"/>
                </c:ext>
              </c:extLst>
            </c:dLbl>
            <c:dLbl>
              <c:idx val="1"/>
              <c:layout>
                <c:manualLayout>
                  <c:x val="-7.2897579252407571E-2"/>
                  <c:y val="5.1925082701785627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37663007737415716"/>
                      <c:h val="0.23427636497114948"/>
                    </c:manualLayout>
                  </c15:layout>
                </c:ext>
                <c:ext xmlns:c16="http://schemas.microsoft.com/office/drawing/2014/chart" uri="{C3380CC4-5D6E-409C-BE32-E72D297353CC}">
                  <c16:uniqueId val="{00000003-77F2-407C-BE81-289EFBC09B14}"/>
                </c:ext>
              </c:extLst>
            </c:dLbl>
            <c:dLbl>
              <c:idx val="2"/>
              <c:layout>
                <c:manualLayout>
                  <c:x val="-2.9101659690308229E-2"/>
                  <c:y val="2.6110755590180203E-2"/>
                </c:manualLayout>
              </c:layout>
              <c:dLblPos val="bestFit"/>
              <c:showLegendKey val="1"/>
              <c:showVal val="1"/>
              <c:showCatName val="1"/>
              <c:showSerName val="0"/>
              <c:showPercent val="1"/>
              <c:showBubbleSize val="0"/>
              <c:separator>
</c:separator>
              <c:extLst>
                <c:ext xmlns:c15="http://schemas.microsoft.com/office/drawing/2012/chart" uri="{CE6537A1-D6FC-4f65-9D91-7224C49458BB}">
                  <c15:layout>
                    <c:manualLayout>
                      <c:w val="0.40491643005590838"/>
                      <c:h val="0.25384713836565476"/>
                    </c:manualLayout>
                  </c15:layout>
                </c:ext>
                <c:ext xmlns:c16="http://schemas.microsoft.com/office/drawing/2014/chart" uri="{C3380CC4-5D6E-409C-BE32-E72D297353CC}">
                  <c16:uniqueId val="{00000005-1B77-4057-BDEF-713810EFA7DF}"/>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bestFit"/>
            <c:showLegendKey val="1"/>
            <c:showVal val="1"/>
            <c:showCatName val="0"/>
            <c:showSerName val="0"/>
            <c:showPercent val="0"/>
            <c:showBubbleSize val="0"/>
            <c:showLeaderLines val="0"/>
            <c:extLst>
              <c:ext xmlns:c15="http://schemas.microsoft.com/office/drawing/2012/chart" uri="{CE6537A1-D6FC-4f65-9D91-7224C49458BB}"/>
            </c:extLst>
          </c:dLbls>
          <c:cat>
            <c:strRef>
              <c:f>Hoja1!$A$2:$A$4</c:f>
              <c:strCache>
                <c:ptCount val="3"/>
                <c:pt idx="0">
                  <c:v>Billetes, monedas y depósitos</c:v>
                </c:pt>
                <c:pt idx="1">
                  <c:v>Préstamos</c:v>
                </c:pt>
                <c:pt idx="2">
                  <c:v>Participaciones de capital y en fondos de inversión</c:v>
                </c:pt>
              </c:strCache>
            </c:strRef>
          </c:cat>
          <c:val>
            <c:numRef>
              <c:f>Hoja1!$B$2:$B$4</c:f>
              <c:numCache>
                <c:formatCode>"Q"#,##0.0</c:formatCode>
                <c:ptCount val="3"/>
                <c:pt idx="0">
                  <c:v>2535.5546349799997</c:v>
                </c:pt>
                <c:pt idx="1">
                  <c:v>-13.335853770000003</c:v>
                </c:pt>
              </c:numCache>
            </c:numRef>
          </c:val>
          <c:extLst>
            <c:ext xmlns:c16="http://schemas.microsoft.com/office/drawing/2014/chart" uri="{C3380CC4-5D6E-409C-BE32-E72D297353CC}">
              <c16:uniqueId val="{00000004-77F2-407C-BE81-289EFBC09B14}"/>
            </c:ext>
          </c:extLst>
        </c:ser>
        <c:dLbls>
          <c:showLegendKey val="0"/>
          <c:showVal val="0"/>
          <c:showCatName val="0"/>
          <c:showSerName val="0"/>
          <c:showPercent val="0"/>
          <c:showBubbleSize val="0"/>
          <c:showLeaderLines val="0"/>
        </c:dLbls>
        <c:firstSliceAng val="90"/>
      </c:pieChart>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r>
              <a:rPr lang="en-US" sz="900" b="1" i="0">
                <a:solidFill>
                  <a:schemeClr val="tx1"/>
                </a:solidFill>
              </a:rPr>
              <a:t>Flujo Mensual</a:t>
            </a:r>
          </a:p>
        </c:rich>
      </c:tx>
      <c:layout>
        <c:manualLayout>
          <c:xMode val="edge"/>
          <c:yMode val="edge"/>
          <c:x val="0.35417726104549435"/>
          <c:y val="9.8328416912487702E-3"/>
        </c:manualLayout>
      </c:layout>
      <c:overlay val="0"/>
      <c:spPr>
        <a:noFill/>
        <a:ln>
          <a:noFill/>
        </a:ln>
        <a:effectLst/>
      </c:spPr>
      <c:txPr>
        <a:bodyPr rot="0" spcFirstLastPara="1" vertOverflow="ellipsis" vert="horz" wrap="square" anchor="ctr" anchorCtr="1"/>
        <a:lstStyle/>
        <a:p>
          <a:pPr algn="l">
            <a:defRPr sz="900" b="1" i="0" u="none" strike="noStrike" kern="1200" cap="none" spc="0" normalizeH="0" baseline="0">
              <a:solidFill>
                <a:schemeClr val="tx1"/>
              </a:solidFill>
              <a:latin typeface="Times New Roman" panose="02020603050405020304" pitchFamily="18" charset="0"/>
              <a:ea typeface="+mj-ea"/>
              <a:cs typeface="Times New Roman" panose="02020603050405020304" pitchFamily="18" charset="0"/>
            </a:defRPr>
          </a:pPr>
          <a:endParaRPr lang="es-GT"/>
        </a:p>
      </c:txPr>
    </c:title>
    <c:autoTitleDeleted val="0"/>
    <c:plotArea>
      <c:layout>
        <c:manualLayout>
          <c:layoutTarget val="inner"/>
          <c:xMode val="edge"/>
          <c:yMode val="edge"/>
          <c:x val="0"/>
          <c:y val="9.1218054436108878E-2"/>
          <c:w val="1"/>
          <c:h val="0.51978092521716523"/>
        </c:manualLayout>
      </c:layout>
      <c:barChart>
        <c:barDir val="col"/>
        <c:grouping val="clustered"/>
        <c:varyColors val="0"/>
        <c:ser>
          <c:idx val="0"/>
          <c:order val="0"/>
          <c:tx>
            <c:strRef>
              <c:f>Hoja1!$A$2</c:f>
              <c:strCache>
                <c:ptCount val="1"/>
                <c:pt idx="0">
                  <c:v>Categoría 1</c:v>
                </c:pt>
              </c:strCache>
            </c:strRef>
          </c:tx>
          <c:spPr>
            <a:noFill/>
            <a:ln>
              <a:noFill/>
            </a:ln>
            <a:effectLst/>
          </c:spPr>
          <c:invertIfNegative val="0"/>
          <c:dPt>
            <c:idx val="3"/>
            <c:invertIfNegative val="0"/>
            <c:bubble3D val="0"/>
            <c:spPr>
              <a:solidFill>
                <a:schemeClr val="tx2"/>
              </a:solidFill>
              <a:ln w="15875">
                <a:solidFill>
                  <a:schemeClr val="tx1"/>
                </a:solidFill>
              </a:ln>
              <a:effectLst/>
            </c:spPr>
            <c:extLst>
              <c:ext xmlns:c16="http://schemas.microsoft.com/office/drawing/2014/chart" uri="{C3380CC4-5D6E-409C-BE32-E72D297353CC}">
                <c16:uniqueId val="{00000001-2F5A-4516-A758-482FB4948230}"/>
              </c:ext>
            </c:extLst>
          </c:dPt>
          <c:dPt>
            <c:idx val="6"/>
            <c:invertIfNegative val="0"/>
            <c:bubble3D val="0"/>
            <c:spPr>
              <a:noFill/>
              <a:ln w="19050">
                <a:noFill/>
              </a:ln>
              <a:effectLst/>
            </c:spPr>
            <c:extLst>
              <c:ext xmlns:c16="http://schemas.microsoft.com/office/drawing/2014/chart" uri="{C3380CC4-5D6E-409C-BE32-E72D297353CC}">
                <c16:uniqueId val="{00000008-F785-4700-B38B-76B949A323CB}"/>
              </c:ext>
            </c:extLst>
          </c:dPt>
          <c:dPt>
            <c:idx val="9"/>
            <c:invertIfNegative val="0"/>
            <c:bubble3D val="0"/>
            <c:spPr>
              <a:noFill/>
              <a:ln w="28575">
                <a:noFill/>
              </a:ln>
              <a:effectLst/>
            </c:spPr>
            <c:extLst>
              <c:ext xmlns:c16="http://schemas.microsoft.com/office/drawing/2014/chart" uri="{C3380CC4-5D6E-409C-BE32-E72D297353CC}">
                <c16:uniqueId val="{0000000A-7D05-40F5-B5EB-0F479E5F8AF4}"/>
              </c:ext>
            </c:extLst>
          </c:dPt>
          <c:dPt>
            <c:idx val="12"/>
            <c:invertIfNegative val="0"/>
            <c:bubble3D val="0"/>
            <c:spPr>
              <a:solidFill>
                <a:schemeClr val="tx2">
                  <a:lumMod val="75000"/>
                </a:schemeClr>
              </a:solidFill>
              <a:ln>
                <a:solidFill>
                  <a:schemeClr val="tx1"/>
                </a:solidFill>
              </a:ln>
              <a:effectLst/>
            </c:spPr>
            <c:extLst>
              <c:ext xmlns:c16="http://schemas.microsoft.com/office/drawing/2014/chart" uri="{C3380CC4-5D6E-409C-BE32-E72D297353CC}">
                <c16:uniqueId val="{0000000E-4B4C-4485-8C79-904533380089}"/>
              </c:ext>
            </c:extLst>
          </c:dPt>
          <c:dLbls>
            <c:dLbl>
              <c:idx val="3"/>
              <c:layout>
                <c:manualLayout>
                  <c:x val="3.5273368606701938E-3"/>
                  <c:y val="-1.745445084670543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5A-4516-A758-482FB4948230}"/>
                </c:ext>
              </c:extLst>
            </c:dLbl>
            <c:dLbl>
              <c:idx val="12"/>
              <c:layout>
                <c:manualLayout>
                  <c:x val="-1.4109347442680775E-2"/>
                  <c:y val="1.3210824785434682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B4C-4485-8C79-9045333800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0"/>
            <c:showCatName val="0"/>
            <c:showSerName val="0"/>
            <c:showPercent val="0"/>
            <c:showBubbleSize val="0"/>
            <c:extLst>
              <c:ext xmlns:c15="http://schemas.microsoft.com/office/drawing/2012/chart" uri="{CE6537A1-D6FC-4f65-9D91-7224C49458BB}">
                <c15:showLeaderLines val="0"/>
              </c:ext>
            </c:extLst>
          </c:dLbls>
          <c:cat>
            <c:strRef>
              <c:f>Hoja1!$B$1:$E$1</c:f>
              <c:strCache>
                <c:ptCount val="4"/>
                <c:pt idx="0">
                  <c:v>Enero</c:v>
                </c:pt>
                <c:pt idx="1">
                  <c:v>Febrero</c:v>
                </c:pt>
                <c:pt idx="2">
                  <c:v>Marzo</c:v>
                </c:pt>
                <c:pt idx="3">
                  <c:v>Total</c:v>
                </c:pt>
              </c:strCache>
            </c:strRef>
          </c:cat>
          <c:val>
            <c:numRef>
              <c:f>Hoja1!$B$2:$E$2</c:f>
              <c:numCache>
                <c:formatCode>_-* #,##0.0_-;\-* #,##0.0_-;_-* "-"??_-;_-@_-</c:formatCode>
                <c:ptCount val="4"/>
                <c:pt idx="0">
                  <c:v>-256.09290938000004</c:v>
                </c:pt>
                <c:pt idx="1">
                  <c:v>-385.86850578000008</c:v>
                </c:pt>
                <c:pt idx="2">
                  <c:v>3074.3580000799998</c:v>
                </c:pt>
                <c:pt idx="3">
                  <c:v>2432.3965849199994</c:v>
                </c:pt>
              </c:numCache>
            </c:numRef>
          </c:val>
          <c:extLst>
            <c:ext xmlns:c16="http://schemas.microsoft.com/office/drawing/2014/chart" uri="{C3380CC4-5D6E-409C-BE32-E72D297353CC}">
              <c16:uniqueId val="{00000005-2F5A-4516-A758-482FB4948230}"/>
            </c:ext>
          </c:extLst>
        </c:ser>
        <c:dLbls>
          <c:dLblPos val="inEnd"/>
          <c:showLegendKey val="0"/>
          <c:showVal val="1"/>
          <c:showCatName val="0"/>
          <c:showSerName val="0"/>
          <c:showPercent val="0"/>
          <c:showBubbleSize val="0"/>
        </c:dLbls>
        <c:gapWidth val="83"/>
        <c:overlap val="7"/>
        <c:axId val="152970912"/>
        <c:axId val="152969984"/>
      </c:barChart>
      <c:lineChart>
        <c:grouping val="standard"/>
        <c:varyColors val="0"/>
        <c:ser>
          <c:idx val="1"/>
          <c:order val="1"/>
          <c:tx>
            <c:strRef>
              <c:f>Hoja1!$A$3</c:f>
              <c:strCache>
                <c:ptCount val="1"/>
                <c:pt idx="0">
                  <c:v>Categoría 2</c:v>
                </c:pt>
              </c:strCache>
            </c:strRef>
          </c:tx>
          <c:spPr>
            <a:ln w="22225" cap="rnd">
              <a:noFill/>
              <a:round/>
            </a:ln>
            <a:effectLst>
              <a:outerShdw blurRad="50800" dist="38100" dir="18900000" algn="bl" rotWithShape="0">
                <a:prstClr val="black">
                  <a:alpha val="40000"/>
                </a:prstClr>
              </a:outerShdw>
            </a:effectLst>
          </c:spPr>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dPt>
            <c:idx val="0"/>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6-2F5A-4516-A758-482FB4948230}"/>
              </c:ext>
            </c:extLst>
          </c:dPt>
          <c:dPt>
            <c:idx val="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7-2F5A-4516-A758-482FB4948230}"/>
              </c:ext>
            </c:extLst>
          </c:dPt>
          <c:dPt>
            <c:idx val="2"/>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8-2F5A-4516-A758-482FB4948230}"/>
              </c:ext>
            </c:extLst>
          </c:dPt>
          <c:dPt>
            <c:idx val="3"/>
            <c:marker>
              <c:symbol val="circle"/>
              <c:size val="21"/>
              <c:spPr>
                <a:solidFill>
                  <a:schemeClr val="accent6">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0A-2F5A-4516-A758-482FB4948230}"/>
              </c:ext>
            </c:extLst>
          </c:dPt>
          <c:dPt>
            <c:idx val="6"/>
            <c:marker>
              <c:symbol val="circle"/>
              <c:size val="21"/>
              <c:spPr>
                <a:solidFill>
                  <a:schemeClr val="accent6">
                    <a:lumMod val="20000"/>
                    <a:lumOff val="80000"/>
                  </a:schemeClr>
                </a:solidFill>
                <a:ln w="15875">
                  <a:solidFill>
                    <a:schemeClr val="accent2"/>
                  </a:solidFill>
                  <a:round/>
                </a:ln>
                <a:effectLst/>
              </c:spPr>
            </c:marker>
            <c:bubble3D val="0"/>
            <c:spPr>
              <a:ln w="22225" cap="rnd">
                <a:noFill/>
                <a:round/>
              </a:ln>
              <a:effectLst/>
            </c:spPr>
            <c:extLst>
              <c:ext xmlns:c16="http://schemas.microsoft.com/office/drawing/2014/chart" uri="{C3380CC4-5D6E-409C-BE32-E72D297353CC}">
                <c16:uniqueId val="{0000000E-25C3-47FC-B730-F6F202BC7A43}"/>
              </c:ext>
            </c:extLst>
          </c:dPt>
          <c:dPt>
            <c:idx val="7"/>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0-F6D3-4EB8-9B49-CA9F7FE069D8}"/>
              </c:ext>
            </c:extLst>
          </c:dPt>
          <c:dPt>
            <c:idx val="11"/>
            <c:marker>
              <c:symbol val="circle"/>
              <c:size val="21"/>
              <c:spPr>
                <a:solidFill>
                  <a:schemeClr val="accent3">
                    <a:lumMod val="20000"/>
                    <a:lumOff val="80000"/>
                  </a:schemeClr>
                </a:solidFill>
                <a:ln w="15875">
                  <a:solidFill>
                    <a:schemeClr val="accent2"/>
                  </a:solidFill>
                  <a:round/>
                </a:ln>
                <a:effectLst>
                  <a:outerShdw blurRad="50800" dist="38100" dir="18900000" algn="bl" rotWithShape="0">
                    <a:prstClr val="black">
                      <a:alpha val="40000"/>
                    </a:prstClr>
                  </a:outerShdw>
                </a:effectLst>
              </c:spPr>
            </c:marker>
            <c:bubble3D val="0"/>
            <c:extLst>
              <c:ext xmlns:c16="http://schemas.microsoft.com/office/drawing/2014/chart" uri="{C3380CC4-5D6E-409C-BE32-E72D297353CC}">
                <c16:uniqueId val="{00000011-5747-4A62-803A-FE837A96875E}"/>
              </c:ext>
            </c:extLst>
          </c:dPt>
          <c:dLbls>
            <c:dLbl>
              <c:idx val="12"/>
              <c:delete val="1"/>
              <c:extLst>
                <c:ext xmlns:c15="http://schemas.microsoft.com/office/drawing/2012/chart" uri="{CE6537A1-D6FC-4f65-9D91-7224C49458BB}"/>
                <c:ext xmlns:c16="http://schemas.microsoft.com/office/drawing/2014/chart" uri="{C3380CC4-5D6E-409C-BE32-E72D297353CC}">
                  <c16:uniqueId val="{0000000D-8631-45BD-9BD9-751B826219A5}"/>
                </c:ext>
              </c:extLst>
            </c:dLbl>
            <c:numFmt formatCode="#,##0.0_ ;[Red]\-#,##0.0\ " sourceLinked="0"/>
            <c:spPr>
              <a:no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Hoja1!$B$1:$E$1</c:f>
              <c:strCache>
                <c:ptCount val="4"/>
                <c:pt idx="0">
                  <c:v>Enero</c:v>
                </c:pt>
                <c:pt idx="1">
                  <c:v>Febrero</c:v>
                </c:pt>
                <c:pt idx="2">
                  <c:v>Marzo</c:v>
                </c:pt>
                <c:pt idx="3">
                  <c:v>Total</c:v>
                </c:pt>
              </c:strCache>
            </c:strRef>
          </c:cat>
          <c:val>
            <c:numRef>
              <c:f>Hoja1!$B$3:$E$3</c:f>
              <c:numCache>
                <c:formatCode>_-* #,##0.0_-;\-* #,##0.0_-;_-* "-"??_-;_-@_-</c:formatCode>
                <c:ptCount val="4"/>
                <c:pt idx="0">
                  <c:v>-256.09290938000004</c:v>
                </c:pt>
                <c:pt idx="1">
                  <c:v>-385.86850578000008</c:v>
                </c:pt>
                <c:pt idx="2">
                  <c:v>3074.3580000799998</c:v>
                </c:pt>
              </c:numCache>
            </c:numRef>
          </c:val>
          <c:smooth val="0"/>
          <c:extLst>
            <c:ext xmlns:c16="http://schemas.microsoft.com/office/drawing/2014/chart" uri="{C3380CC4-5D6E-409C-BE32-E72D297353CC}">
              <c16:uniqueId val="{0000000B-2F5A-4516-A758-482FB4948230}"/>
            </c:ext>
          </c:extLst>
        </c:ser>
        <c:dLbls>
          <c:showLegendKey val="0"/>
          <c:showVal val="0"/>
          <c:showCatName val="0"/>
          <c:showSerName val="0"/>
          <c:showPercent val="0"/>
          <c:showBubbleSize val="0"/>
        </c:dLbls>
        <c:marker val="1"/>
        <c:smooth val="0"/>
        <c:axId val="152970912"/>
        <c:axId val="152969984"/>
      </c:lineChart>
      <c:catAx>
        <c:axId val="152970912"/>
        <c:scaling>
          <c:orientation val="minMax"/>
        </c:scaling>
        <c:delete val="0"/>
        <c:axPos val="b"/>
        <c:numFmt formatCode="General" sourceLinked="1"/>
        <c:majorTickMark val="none"/>
        <c:minorTickMark val="none"/>
        <c:tickLblPos val="low"/>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900" b="1"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es-GT"/>
          </a:p>
        </c:txPr>
        <c:crossAx val="152969984"/>
        <c:crosses val="autoZero"/>
        <c:auto val="1"/>
        <c:lblAlgn val="ctr"/>
        <c:lblOffset val="100"/>
        <c:noMultiLvlLbl val="0"/>
      </c:catAx>
      <c:valAx>
        <c:axId val="152969984"/>
        <c:scaling>
          <c:orientation val="minMax"/>
        </c:scaling>
        <c:delete val="0"/>
        <c:axPos val="l"/>
        <c:majorGridlines>
          <c:spPr>
            <a:ln w="9525" cap="flat" cmpd="sng" algn="ctr">
              <a:solidFill>
                <a:schemeClr val="dk1">
                  <a:lumMod val="15000"/>
                  <a:lumOff val="85000"/>
                </a:schemeClr>
              </a:solidFill>
              <a:round/>
            </a:ln>
            <a:effectLst/>
          </c:spPr>
        </c:majorGridlines>
        <c:numFmt formatCode="#,##0_ ;[Red]\-#,##0\ "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529709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7.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r>
            <a:rPr lang="en-US" sz="10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a:solidFill>
                <a:sysClr val="windowText" lastClr="000000"/>
              </a:solidFill>
              <a:latin typeface="Times New Roman" panose="02020603050405020304" pitchFamily="18" charset="0"/>
              <a:cs typeface="Times New Roman" panose="02020603050405020304" pitchFamily="18" charset="0"/>
            </a:rPr>
            <a:t>tán</a:t>
          </a:r>
          <a:r>
            <a:rPr lang="en-US" sz="1000">
              <a:latin typeface="Times New Roman" panose="02020603050405020304" pitchFamily="18" charset="0"/>
              <a:cs typeface="Times New Roman" panose="02020603050405020304" pitchFamily="18" charset="0"/>
            </a:rPr>
            <a:t>dares internacionales.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a:latin typeface="Times New Roman" panose="02020603050405020304" pitchFamily="18" charset="0"/>
              <a:cs typeface="Times New Roman" panose="02020603050405020304" pitchFamily="18" charset="0"/>
            </a:rPr>
            <a:t>En los e</a:t>
          </a:r>
          <a:r>
            <a:rPr lang="en-US" sz="1000" b="1" strike="noStrike">
              <a:solidFill>
                <a:sysClr val="windowText" lastClr="000000"/>
              </a:solidFill>
              <a:latin typeface="Times New Roman" panose="02020603050405020304" pitchFamily="18" charset="0"/>
              <a:cs typeface="Times New Roman" panose="02020603050405020304" pitchFamily="18" charset="0"/>
            </a:rPr>
            <a:t>stándares</a:t>
          </a:r>
          <a:r>
            <a:rPr lang="en-US" sz="1000" b="1">
              <a:latin typeface="Times New Roman" panose="02020603050405020304" pitchFamily="18" charset="0"/>
              <a:cs typeface="Times New Roman" panose="02020603050405020304" pitchFamily="18" charset="0"/>
            </a:rPr>
            <a:t> internacionales, un gasto es una transacción que  disminuye el patrimonio neto del gobierno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2CC71809-35DE-431A-8E89-16EE3CBE8060}">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FB3419CE-7C14-4ADE-BDF0-3D966782548A}" type="parTrans" cxnId="{537138B4-325E-4E94-87BB-8E2AEB889CE3}">
      <dgm:prSet/>
      <dgm:spPr/>
      <dgm:t>
        <a:bodyPr/>
        <a:lstStyle/>
        <a:p>
          <a:endParaRPr lang="es-GT"/>
        </a:p>
      </dgm:t>
    </dgm:pt>
    <dgm:pt modelId="{8B785DAD-3895-49B6-A969-58089C321C73}" type="sibTrans" cxnId="{537138B4-325E-4E94-87BB-8E2AEB889CE3}">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LinFactY="-1552" custLinFactNeighborX="-34956" custLinFactNeighborY="-100000">
        <dgm:presLayoutVars>
          <dgm:bulletEnabled val="1"/>
        </dgm:presLayoutVars>
      </dgm:prSet>
      <dgm:spPr/>
    </dgm:pt>
  </dgm:ptLst>
  <dgm:cxnLst>
    <dgm:cxn modelId="{2B97E307-DDDC-45DC-9CA7-632648FED3B9}" type="presOf" srcId="{01C29C0B-230A-4A2F-B7AB-59E88CC6B709}" destId="{1111B519-2F2F-4512-95FE-D2216303CCBE}" srcOrd="0" destOrd="1"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1" destOrd="0" parTransId="{BD00C7DA-D115-4DC8-96E9-9A8238F85148}" sibTransId="{65EB422C-F1D3-4985-A61D-252683A994E5}"/>
    <dgm:cxn modelId="{4D524D71-7747-4CA7-959A-0C1A1AB0D512}" type="presOf" srcId="{2CC71809-35DE-431A-8E89-16EE3CBE8060}" destId="{1111B519-2F2F-4512-95FE-D2216303CCBE}" srcOrd="0" destOrd="0" presId="urn:microsoft.com/office/officeart/2005/8/layout/list1"/>
    <dgm:cxn modelId="{3FDC437B-7FEB-4570-9F57-FAA88171B111}" type="presOf" srcId="{68DFCB13-F778-41C4-88A6-8A8793BBCF6B}" destId="{374EA5B0-C6AD-46BF-9645-7F0ED252FE66}" srcOrd="0" destOrd="0" presId="urn:microsoft.com/office/officeart/2005/8/layout/list1"/>
    <dgm:cxn modelId="{537138B4-325E-4E94-87BB-8E2AEB889CE3}" srcId="{68DFCB13-F778-41C4-88A6-8A8793BBCF6B}" destId="{2CC71809-35DE-431A-8E89-16EE3CBE8060}" srcOrd="0" destOrd="0" parTransId="{FB3419CE-7C14-4ADE-BDF0-3D966782548A}" sibTransId="{8B785DAD-3895-49B6-A969-58089C321C73}"/>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b="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a:latin typeface="Times New Roman" panose="02020603050405020304" pitchFamily="18" charset="0"/>
              <a:cs typeface="Times New Roman" panose="02020603050405020304" pitchFamily="18" charset="0"/>
            </a:rPr>
            <a:t>por mutuo acuerdo o mediante la aplicación de la ley.... (MEFP 2014)</a:t>
          </a:r>
          <a:r>
            <a:rPr lang="en-US" sz="1000" b="0">
              <a:latin typeface="Times New Roman" panose="02020603050405020304" pitchFamily="18" charset="0"/>
              <a:cs typeface="Times New Roman" panose="02020603050405020304" pitchFamily="18" charset="0"/>
            </a:rPr>
            <a:t>. </a:t>
          </a:r>
          <a:r>
            <a:rPr lang="en-US" sz="1000" b="1">
              <a:latin typeface="Times New Roman" panose="02020603050405020304" pitchFamily="18" charset="0"/>
              <a:cs typeface="Times New Roman" panose="02020603050405020304" pitchFamily="18" charset="0"/>
            </a:rPr>
            <a:t>Las transacciones en activos y pasivos no generan cambios en el patrimonio neto.</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a:latin typeface="Times New Roman" panose="02020603050405020304" pitchFamily="18" charset="0"/>
              <a:cs typeface="Times New Roman" panose="02020603050405020304" pitchFamily="18" charset="0"/>
            </a:rPr>
            <a:t>En </a:t>
          </a:r>
          <a:r>
            <a:rPr lang="en-US" sz="1000" b="1">
              <a:solidFill>
                <a:sysClr val="windowText" lastClr="000000"/>
              </a:solidFill>
              <a:latin typeface="Times New Roman" panose="02020603050405020304" pitchFamily="18" charset="0"/>
              <a:cs typeface="Times New Roman" panose="02020603050405020304" pitchFamily="18" charset="0"/>
            </a:rPr>
            <a:t>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a:latin typeface="Times New Roman" panose="02020603050405020304" pitchFamily="18" charset="0"/>
              <a:cs typeface="Times New Roman" panose="02020603050405020304" pitchFamily="18" charset="0"/>
            </a:rPr>
            <a:t>no financieros (MEFP 2014) </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dgm:presLayoutVars>
          <dgm:bulletEnabled val="1"/>
        </dgm:presLayoutVars>
      </dgm:prSet>
      <dgm:spPr/>
    </dgm:pt>
  </dgm:ptLst>
  <dgm:cxnLst>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CF9E1A65-553C-4315-9B4D-6922C5CF2185}" type="presOf" srcId="{68DFCB13-F778-41C4-88A6-8A8793BBCF6B}" destId="{377E1CD8-0067-463D-AA47-7581C029D7D4}" srcOrd="1" destOrd="0" presId="urn:microsoft.com/office/officeart/2005/8/layout/list1"/>
    <dgm:cxn modelId="{047B5950-955A-4E9C-890F-03A957F573F6}" srcId="{68DFCB13-F778-41C4-88A6-8A8793BBCF6B}" destId="{01C29C0B-230A-4A2F-B7AB-59E88CC6B709}" srcOrd="0" destOrd="0" parTransId="{BD00C7DA-D115-4DC8-96E9-9A8238F85148}" sibTransId="{65EB422C-F1D3-4985-A61D-252683A994E5}"/>
    <dgm:cxn modelId="{3FDC437B-7FEB-4570-9F57-FAA88171B111}" type="presOf" srcId="{68DFCB13-F778-41C4-88A6-8A8793BBCF6B}" destId="{374EA5B0-C6AD-46BF-9645-7F0ED252FE66}" srcOrd="0" destOrd="0"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27429C-5B6E-468F-AF42-BE9281FF2A23}" type="doc">
      <dgm:prSet loTypeId="urn:microsoft.com/office/officeart/2005/8/layout/list1" loCatId="list" qsTypeId="urn:microsoft.com/office/officeart/2005/8/quickstyle/3d2" qsCatId="3D" csTypeId="urn:microsoft.com/office/officeart/2005/8/colors/accent1_2" csCatId="accent1" phldr="1"/>
      <dgm:spPr/>
      <dgm:t>
        <a:bodyPr/>
        <a:lstStyle/>
        <a:p>
          <a:endParaRPr lang="en-US"/>
        </a:p>
      </dgm:t>
    </dgm:pt>
    <dgm:pt modelId="{68DFCB13-F778-41C4-88A6-8A8793BBCF6B}">
      <dgm:prSet phldrT="[Texto]" custT="1"/>
      <dgm:spPr/>
      <dgm:t>
        <a:bodyPr/>
        <a:lstStyle/>
        <a:p>
          <a:r>
            <a:rPr lang="en-US" sz="1000">
              <a:latin typeface="Times New Roman" panose="02020603050405020304" pitchFamily="18" charset="0"/>
              <a:cs typeface="Times New Roman" panose="02020603050405020304" pitchFamily="18" charset="0"/>
            </a:rPr>
            <a:t>Nota Informativa</a:t>
          </a:r>
        </a:p>
      </dgm:t>
    </dgm:pt>
    <dgm:pt modelId="{55E528F8-5473-447A-B4D6-39039A5FF545}" type="par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18C21111-088F-4CAC-A53E-A2F91EF73064}" type="sibTrans" cxnId="{9E117C35-F0A3-4260-AE5F-3261DFB7C6EE}">
      <dgm:prSet/>
      <dgm:spPr/>
      <dgm:t>
        <a:bodyPr/>
        <a:lstStyle/>
        <a:p>
          <a:endParaRPr lang="en-US" sz="800">
            <a:latin typeface="Times New Roman" panose="02020603050405020304" pitchFamily="18" charset="0"/>
            <a:cs typeface="Times New Roman" panose="02020603050405020304" pitchFamily="18" charset="0"/>
          </a:endParaRPr>
        </a:p>
      </dgm:t>
    </dgm:pt>
    <dgm:pt modelId="{01C29C0B-230A-4A2F-B7AB-59E88CC6B709}">
      <dgm:prSet phldrT="[Texto]" custT="1"/>
      <dgm:spPr/>
      <dgm:t>
        <a:bodyPr/>
        <a:lstStyle/>
        <a:p>
          <a:pPr algn="just"/>
          <a:r>
            <a:rPr lang="en-US" sz="10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a:latin typeface="Times New Roman" panose="02020603050405020304" pitchFamily="18" charset="0"/>
              <a:cs typeface="Times New Roman" panose="02020603050405020304" pitchFamily="18" charset="0"/>
            </a:rPr>
            <a:t>hace que estos no sean perfectamente comparables. </a:t>
          </a:r>
          <a:r>
            <a:rPr lang="en-US" sz="1000" b="1">
              <a:latin typeface="Times New Roman" panose="02020603050405020304" pitchFamily="18" charset="0"/>
              <a:cs typeface="Times New Roman" panose="02020603050405020304" pitchFamily="18" charset="0"/>
            </a:rPr>
            <a:t>En los </a:t>
          </a:r>
          <a:r>
            <a:rPr lang="en-US" sz="1000" b="1" strike="noStrike">
              <a:solidFill>
                <a:sysClr val="windowText" lastClr="000000"/>
              </a:solidFill>
              <a:latin typeface="Times New Roman" panose="02020603050405020304" pitchFamily="18" charset="0"/>
              <a:cs typeface="Times New Roman" panose="02020603050405020304" pitchFamily="18" charset="0"/>
            </a:rPr>
            <a:t>estándares</a:t>
          </a:r>
          <a:r>
            <a:rPr lang="en-US" sz="1000" b="1">
              <a:latin typeface="Times New Roman" panose="02020603050405020304" pitchFamily="18" charset="0"/>
              <a:cs typeface="Times New Roman" panose="02020603050405020304" pitchFamily="18" charset="0"/>
            </a:rPr>
            <a:t> internacionales existen los siguientes indicadores fiscales:</a:t>
          </a:r>
        </a:p>
      </dgm:t>
    </dgm:pt>
    <dgm:pt modelId="{BD00C7DA-D115-4DC8-96E9-9A8238F85148}" type="par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65EB422C-F1D3-4985-A61D-252683A994E5}" type="sibTrans" cxnId="{047B5950-955A-4E9C-890F-03A957F573F6}">
      <dgm:prSet/>
      <dgm:spPr/>
      <dgm:t>
        <a:bodyPr/>
        <a:lstStyle/>
        <a:p>
          <a:endParaRPr lang="en-US" sz="800">
            <a:latin typeface="Times New Roman" panose="02020603050405020304" pitchFamily="18" charset="0"/>
            <a:cs typeface="Times New Roman" panose="02020603050405020304" pitchFamily="18" charset="0"/>
          </a:endParaRPr>
        </a:p>
      </dgm:t>
    </dgm:pt>
    <dgm:pt modelId="{C3D409E7-6B38-4B8B-8222-44C703F58D92}">
      <dgm:prSet phldrT="[Texto]" custT="1"/>
      <dgm:spPr/>
      <dgm:t>
        <a:bodyPr/>
        <a:lstStyle/>
        <a:p>
          <a:pPr algn="just"/>
          <a:r>
            <a:rPr lang="en-US" sz="1000" b="1">
              <a:latin typeface="Times New Roman" panose="02020603050405020304" pitchFamily="18" charset="0"/>
              <a:cs typeface="Times New Roman" panose="02020603050405020304" pitchFamily="18" charset="0"/>
            </a:rPr>
            <a:t> 1.) Resultado Operativo Neto (NOB) = </a:t>
          </a:r>
          <a:r>
            <a:rPr lang="en-US" sz="1000" b="0">
              <a:latin typeface="Times New Roman" panose="02020603050405020304" pitchFamily="18" charset="0"/>
              <a:cs typeface="Times New Roman" panose="02020603050405020304" pitchFamily="18" charset="0"/>
            </a:rPr>
            <a:t>Ingresos - Gastos</a:t>
          </a:r>
        </a:p>
      </dgm:t>
    </dgm:pt>
    <dgm:pt modelId="{35E9F9E2-37BD-42CA-AB3F-4201DA8C5649}" type="parTrans" cxnId="{D2A05A42-79FB-4963-8B17-BF9A6786808F}">
      <dgm:prSet/>
      <dgm:spPr/>
      <dgm:t>
        <a:bodyPr/>
        <a:lstStyle/>
        <a:p>
          <a:endParaRPr lang="en-US"/>
        </a:p>
      </dgm:t>
    </dgm:pt>
    <dgm:pt modelId="{AC2A3F50-B651-4C05-9C8B-A8F890A72D73}" type="sibTrans" cxnId="{D2A05A42-79FB-4963-8B17-BF9A6786808F}">
      <dgm:prSet/>
      <dgm:spPr/>
      <dgm:t>
        <a:bodyPr/>
        <a:lstStyle/>
        <a:p>
          <a:endParaRPr lang="en-US"/>
        </a:p>
      </dgm:t>
    </dgm:pt>
    <dgm:pt modelId="{3CF91B55-1F75-4C87-9C67-A20C9FA05662}">
      <dgm:prSet phldrT="[Texto]" custT="1"/>
      <dgm:spPr/>
      <dgm:t>
        <a:bodyPr/>
        <a:lstStyle/>
        <a:p>
          <a:pPr algn="just"/>
          <a:r>
            <a:rPr lang="en-US" sz="1000" b="1">
              <a:latin typeface="Times New Roman" panose="02020603050405020304" pitchFamily="18" charset="0"/>
              <a:cs typeface="Times New Roman" panose="02020603050405020304" pitchFamily="18" charset="0"/>
            </a:rPr>
            <a:t> 2.) Resultado Operativo Bruto (GOB) = </a:t>
          </a:r>
          <a:r>
            <a:rPr lang="en-US" sz="1000" b="0">
              <a:latin typeface="Times New Roman" panose="02020603050405020304" pitchFamily="18" charset="0"/>
              <a:cs typeface="Times New Roman" panose="02020603050405020304" pitchFamily="18" charset="0"/>
            </a:rPr>
            <a:t>Ingresos - Gastos + Consumo de capital fijo</a:t>
          </a:r>
        </a:p>
      </dgm:t>
    </dgm:pt>
    <dgm:pt modelId="{D8385961-8EAF-45B4-BEDD-9F02F740FFF8}" type="parTrans" cxnId="{3B646E4E-A757-43B0-9D09-BAE2E05E5ACA}">
      <dgm:prSet/>
      <dgm:spPr/>
      <dgm:t>
        <a:bodyPr/>
        <a:lstStyle/>
        <a:p>
          <a:endParaRPr lang="en-US"/>
        </a:p>
      </dgm:t>
    </dgm:pt>
    <dgm:pt modelId="{3B565E79-6F22-4474-B8A9-856B312682A2}" type="sibTrans" cxnId="{3B646E4E-A757-43B0-9D09-BAE2E05E5ACA}">
      <dgm:prSet/>
      <dgm:spPr/>
      <dgm:t>
        <a:bodyPr/>
        <a:lstStyle/>
        <a:p>
          <a:endParaRPr lang="en-US"/>
        </a:p>
      </dgm:t>
    </dgm:pt>
    <dgm:pt modelId="{DDD57492-28E1-4534-8544-AE4C4F54393E}">
      <dgm:prSet phldrT="[Texto]" custT="1"/>
      <dgm:spPr/>
      <dgm:t>
        <a:bodyPr/>
        <a:lstStyle/>
        <a:p>
          <a:pPr algn="just"/>
          <a:r>
            <a:rPr lang="en-US" sz="1000" b="1">
              <a:latin typeface="Times New Roman" panose="02020603050405020304" pitchFamily="18" charset="0"/>
              <a:cs typeface="Times New Roman" panose="02020603050405020304" pitchFamily="18" charset="0"/>
            </a:rPr>
            <a:t> 3.) P</a:t>
          </a:r>
          <a:r>
            <a:rPr lang="en-US" sz="1000" b="1">
              <a:solidFill>
                <a:sysClr val="windowText" lastClr="000000"/>
              </a:solidFill>
              <a:latin typeface="Times New Roman" panose="02020603050405020304" pitchFamily="18" charset="0"/>
              <a:cs typeface="Times New Roman" panose="02020603050405020304" pitchFamily="18" charset="0"/>
            </a:rPr>
            <a:t>réstamo </a:t>
          </a:r>
          <a:r>
            <a:rPr lang="en-US" sz="1000" b="1">
              <a:latin typeface="Times New Roman" panose="02020603050405020304" pitchFamily="18" charset="0"/>
              <a:cs typeface="Times New Roman" panose="02020603050405020304" pitchFamily="18" charset="0"/>
            </a:rPr>
            <a:t>o Endeudamiento Neto (NLB) = </a:t>
          </a:r>
          <a:r>
            <a:rPr lang="en-US" sz="1000" b="0">
              <a:latin typeface="Times New Roman" panose="02020603050405020304" pitchFamily="18" charset="0"/>
              <a:cs typeface="Times New Roman" panose="02020603050405020304" pitchFamily="18" charset="0"/>
            </a:rPr>
            <a:t>NOB - Inversión Neta en Activos no financieros</a:t>
          </a:r>
        </a:p>
      </dgm:t>
    </dgm:pt>
    <dgm:pt modelId="{F4E1C6EE-CD86-4051-8C91-50C764FC2B3C}" type="parTrans" cxnId="{804E552C-050E-4FE3-9A89-FA56FE6F04DB}">
      <dgm:prSet/>
      <dgm:spPr/>
      <dgm:t>
        <a:bodyPr/>
        <a:lstStyle/>
        <a:p>
          <a:endParaRPr lang="en-US"/>
        </a:p>
      </dgm:t>
    </dgm:pt>
    <dgm:pt modelId="{810108D9-3C67-4E9B-A016-62224098F996}" type="sibTrans" cxnId="{804E552C-050E-4FE3-9A89-FA56FE6F04DB}">
      <dgm:prSet/>
      <dgm:spPr/>
      <dgm:t>
        <a:bodyPr/>
        <a:lstStyle/>
        <a:p>
          <a:endParaRPr lang="en-US"/>
        </a:p>
      </dgm:t>
    </dgm:pt>
    <dgm:pt modelId="{B3BD5EE0-8B02-47DD-9A82-259B22A65496}">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C5714091-2FD7-45AB-996F-8D909E729D08}" type="parTrans" cxnId="{46B5D4E3-A1B8-446E-BF94-1D1B608BD025}">
      <dgm:prSet/>
      <dgm:spPr/>
      <dgm:t>
        <a:bodyPr/>
        <a:lstStyle/>
        <a:p>
          <a:endParaRPr lang="en-US"/>
        </a:p>
      </dgm:t>
    </dgm:pt>
    <dgm:pt modelId="{0927F4C2-33AC-47BA-87B1-9849DE2EA647}" type="sibTrans" cxnId="{46B5D4E3-A1B8-446E-BF94-1D1B608BD025}">
      <dgm:prSet/>
      <dgm:spPr/>
      <dgm:t>
        <a:bodyPr/>
        <a:lstStyle/>
        <a:p>
          <a:endParaRPr lang="en-US"/>
        </a:p>
      </dgm:t>
    </dgm:pt>
    <dgm:pt modelId="{8A074394-24C9-4417-B175-5B020C5132EE}">
      <dgm:prSet phldrT="[Texto]" custT="1"/>
      <dgm:spPr/>
      <dgm:t>
        <a:bodyPr/>
        <a:lstStyle/>
        <a:p>
          <a:pPr algn="l"/>
          <a:endParaRPr lang="en-US" sz="1000" b="1">
            <a:latin typeface="Times New Roman" panose="02020603050405020304" pitchFamily="18" charset="0"/>
            <a:cs typeface="Times New Roman" panose="02020603050405020304" pitchFamily="18" charset="0"/>
          </a:endParaRPr>
        </a:p>
      </dgm:t>
    </dgm:pt>
    <dgm:pt modelId="{DCE292B1-DDE6-4D66-AF9B-D8F09CB2C44B}" type="parTrans" cxnId="{DAA46AD6-6800-4619-A2CB-499FD1424CD7}">
      <dgm:prSet/>
      <dgm:spPr/>
      <dgm:t>
        <a:bodyPr/>
        <a:lstStyle/>
        <a:p>
          <a:endParaRPr lang="en-US"/>
        </a:p>
      </dgm:t>
    </dgm:pt>
    <dgm:pt modelId="{BB78CF32-946E-44D8-A2CB-37AAD43DE337}" type="sibTrans" cxnId="{DAA46AD6-6800-4619-A2CB-499FD1424CD7}">
      <dgm:prSet/>
      <dgm:spPr/>
      <dgm:t>
        <a:bodyPr/>
        <a:lstStyle/>
        <a:p>
          <a:endParaRPr lang="en-US"/>
        </a:p>
      </dgm:t>
    </dgm:pt>
    <dgm:pt modelId="{6F8CBEB5-BD00-46A8-8598-53DD15BC0D05}">
      <dgm:prSet phldrT="[Texto]" custT="1"/>
      <dgm:spPr/>
      <dgm:t>
        <a:bodyPr/>
        <a:lstStyle/>
        <a:p>
          <a:pPr algn="just"/>
          <a:r>
            <a:rPr lang="en-US" sz="1000" b="1">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dgm:t>
    </dgm:pt>
    <dgm:pt modelId="{A6EB8F4D-3D4D-468C-8830-DEA557649AF4}" type="parTrans" cxnId="{62A354C5-3414-40BA-AD2A-45FD81C86CE9}">
      <dgm:prSet/>
      <dgm:spPr/>
      <dgm:t>
        <a:bodyPr/>
        <a:lstStyle/>
        <a:p>
          <a:endParaRPr lang="en-US"/>
        </a:p>
      </dgm:t>
    </dgm:pt>
    <dgm:pt modelId="{0628C494-8642-43D7-B0AB-7759DCBF2D72}" type="sibTrans" cxnId="{62A354C5-3414-40BA-AD2A-45FD81C86CE9}">
      <dgm:prSet/>
      <dgm:spPr/>
      <dgm:t>
        <a:bodyPr/>
        <a:lstStyle/>
        <a:p>
          <a:endParaRPr lang="en-US"/>
        </a:p>
      </dgm:t>
    </dgm:pt>
    <dgm:pt modelId="{F66DA131-6178-426C-B996-591DEB09B7CB}">
      <dgm:prSet phldrT="[Texto]" custT="1"/>
      <dgm:spPr/>
      <dgm:t>
        <a:bodyPr/>
        <a:lstStyle/>
        <a:p>
          <a:pPr algn="just"/>
          <a:endParaRPr lang="en-US" sz="1000" b="0">
            <a:latin typeface="Times New Roman" panose="02020603050405020304" pitchFamily="18" charset="0"/>
            <a:cs typeface="Times New Roman" panose="02020603050405020304" pitchFamily="18" charset="0"/>
          </a:endParaRPr>
        </a:p>
      </dgm:t>
    </dgm:pt>
    <dgm:pt modelId="{CEF9C5CB-6317-4711-B2DE-3942A095800E}" type="parTrans" cxnId="{85A2A9D1-776F-461B-B5DF-FAD4A3C4D680}">
      <dgm:prSet/>
      <dgm:spPr/>
      <dgm:t>
        <a:bodyPr/>
        <a:lstStyle/>
        <a:p>
          <a:endParaRPr lang="en-US"/>
        </a:p>
      </dgm:t>
    </dgm:pt>
    <dgm:pt modelId="{FC3858C3-5945-430C-BB96-A050D5CEC46F}" type="sibTrans" cxnId="{85A2A9D1-776F-461B-B5DF-FAD4A3C4D680}">
      <dgm:prSet/>
      <dgm:spPr/>
      <dgm:t>
        <a:bodyPr/>
        <a:lstStyle/>
        <a:p>
          <a:endParaRPr lang="en-US"/>
        </a:p>
      </dgm:t>
    </dgm:pt>
    <dgm:pt modelId="{453A4B04-F76E-490B-8F74-F2CEC3B8BB19}">
      <dgm:prSet phldrT="[Texto]" custT="1"/>
      <dgm:spPr/>
      <dgm:t>
        <a:bodyPr/>
        <a:lstStyle/>
        <a:p>
          <a:pPr algn="just"/>
          <a:endParaRPr lang="en-US" sz="1000" b="1">
            <a:latin typeface="Times New Roman" panose="02020603050405020304" pitchFamily="18" charset="0"/>
            <a:cs typeface="Times New Roman" panose="02020603050405020304" pitchFamily="18" charset="0"/>
          </a:endParaRPr>
        </a:p>
      </dgm:t>
    </dgm:pt>
    <dgm:pt modelId="{E8616642-9216-43BC-85CB-23782D39B7D5}" type="parTrans" cxnId="{E97BC17C-ACE4-4BB7-BC2E-2E60E6AEC07C}">
      <dgm:prSet/>
      <dgm:spPr/>
      <dgm:t>
        <a:bodyPr/>
        <a:lstStyle/>
        <a:p>
          <a:endParaRPr lang="es-GT"/>
        </a:p>
      </dgm:t>
    </dgm:pt>
    <dgm:pt modelId="{0C3A3D81-03D4-41F0-9DDD-F21090510B7A}" type="sibTrans" cxnId="{E97BC17C-ACE4-4BB7-BC2E-2E60E6AEC07C}">
      <dgm:prSet/>
      <dgm:spPr/>
      <dgm:t>
        <a:bodyPr/>
        <a:lstStyle/>
        <a:p>
          <a:endParaRPr lang="es-GT"/>
        </a:p>
      </dgm:t>
    </dgm:pt>
    <dgm:pt modelId="{7323760A-CAC8-432D-A020-F77BFA77D735}" type="pres">
      <dgm:prSet presAssocID="{FF27429C-5B6E-468F-AF42-BE9281FF2A23}" presName="linear" presStyleCnt="0">
        <dgm:presLayoutVars>
          <dgm:dir/>
          <dgm:animLvl val="lvl"/>
          <dgm:resizeHandles val="exact"/>
        </dgm:presLayoutVars>
      </dgm:prSet>
      <dgm:spPr/>
    </dgm:pt>
    <dgm:pt modelId="{6E63B848-FDAE-4891-8566-8BE88B653316}" type="pres">
      <dgm:prSet presAssocID="{68DFCB13-F778-41C4-88A6-8A8793BBCF6B}" presName="parentLin" presStyleCnt="0"/>
      <dgm:spPr/>
    </dgm:pt>
    <dgm:pt modelId="{374EA5B0-C6AD-46BF-9645-7F0ED252FE66}" type="pres">
      <dgm:prSet presAssocID="{68DFCB13-F778-41C4-88A6-8A8793BBCF6B}" presName="parentLeftMargin" presStyleLbl="node1" presStyleIdx="0" presStyleCnt="1"/>
      <dgm:spPr/>
    </dgm:pt>
    <dgm:pt modelId="{377E1CD8-0067-463D-AA47-7581C029D7D4}" type="pres">
      <dgm:prSet presAssocID="{68DFCB13-F778-41C4-88A6-8A8793BBCF6B}" presName="parentText" presStyleLbl="node1" presStyleIdx="0" presStyleCnt="1" custScaleX="33793">
        <dgm:presLayoutVars>
          <dgm:chMax val="0"/>
          <dgm:bulletEnabled val="1"/>
        </dgm:presLayoutVars>
      </dgm:prSet>
      <dgm:spPr/>
    </dgm:pt>
    <dgm:pt modelId="{8C78493C-3C9C-4FDF-89DE-DDAC27488222}" type="pres">
      <dgm:prSet presAssocID="{68DFCB13-F778-41C4-88A6-8A8793BBCF6B}" presName="negativeSpace" presStyleCnt="0"/>
      <dgm:spPr/>
    </dgm:pt>
    <dgm:pt modelId="{1111B519-2F2F-4512-95FE-D2216303CCBE}" type="pres">
      <dgm:prSet presAssocID="{68DFCB13-F778-41C4-88A6-8A8793BBCF6B}" presName="childText" presStyleLbl="conFgAcc1" presStyleIdx="0" presStyleCnt="1" custScaleY="99330" custLinFactNeighborX="-1523" custLinFactNeighborY="1916">
        <dgm:presLayoutVars>
          <dgm:bulletEnabled val="1"/>
        </dgm:presLayoutVars>
      </dgm:prSet>
      <dgm:spPr/>
    </dgm:pt>
  </dgm:ptLst>
  <dgm:cxnLst>
    <dgm:cxn modelId="{69387103-3411-4A6C-B040-8EBB6BCB6A88}" type="presOf" srcId="{3CF91B55-1F75-4C87-9C67-A20C9FA05662}" destId="{1111B519-2F2F-4512-95FE-D2216303CCBE}" srcOrd="0" destOrd="3" presId="urn:microsoft.com/office/officeart/2005/8/layout/list1"/>
    <dgm:cxn modelId="{2B97E307-DDDC-45DC-9CA7-632648FED3B9}" type="presOf" srcId="{01C29C0B-230A-4A2F-B7AB-59E88CC6B709}" destId="{1111B519-2F2F-4512-95FE-D2216303CCBE}" srcOrd="0" destOrd="0" presId="urn:microsoft.com/office/officeart/2005/8/layout/list1"/>
    <dgm:cxn modelId="{E9E7F310-CA62-40CB-950B-C2B09700E887}" type="presOf" srcId="{FF27429C-5B6E-468F-AF42-BE9281FF2A23}" destId="{7323760A-CAC8-432D-A020-F77BFA77D735}" srcOrd="0" destOrd="0" presId="urn:microsoft.com/office/officeart/2005/8/layout/list1"/>
    <dgm:cxn modelId="{2C707029-5A0E-402A-B59F-EF340F2A4F9E}" type="presOf" srcId="{B3BD5EE0-8B02-47DD-9A82-259B22A65496}" destId="{1111B519-2F2F-4512-95FE-D2216303CCBE}" srcOrd="0" destOrd="8" presId="urn:microsoft.com/office/officeart/2005/8/layout/list1"/>
    <dgm:cxn modelId="{804E552C-050E-4FE3-9A89-FA56FE6F04DB}" srcId="{68DFCB13-F778-41C4-88A6-8A8793BBCF6B}" destId="{DDD57492-28E1-4534-8544-AE4C4F54393E}" srcOrd="4" destOrd="0" parTransId="{F4E1C6EE-CD86-4051-8C91-50C764FC2B3C}" sibTransId="{810108D9-3C67-4E9B-A016-62224098F996}"/>
    <dgm:cxn modelId="{EEF66A34-B4C1-4174-83EC-4C87C0DB31E8}" type="presOf" srcId="{DDD57492-28E1-4534-8544-AE4C4F54393E}" destId="{1111B519-2F2F-4512-95FE-D2216303CCBE}" srcOrd="0" destOrd="4" presId="urn:microsoft.com/office/officeart/2005/8/layout/list1"/>
    <dgm:cxn modelId="{9E117C35-F0A3-4260-AE5F-3261DFB7C6EE}" srcId="{FF27429C-5B6E-468F-AF42-BE9281FF2A23}" destId="{68DFCB13-F778-41C4-88A6-8A8793BBCF6B}" srcOrd="0" destOrd="0" parTransId="{55E528F8-5473-447A-B4D6-39039A5FF545}" sibTransId="{18C21111-088F-4CAC-A53E-A2F91EF73064}"/>
    <dgm:cxn modelId="{D2A05A42-79FB-4963-8B17-BF9A6786808F}" srcId="{68DFCB13-F778-41C4-88A6-8A8793BBCF6B}" destId="{C3D409E7-6B38-4B8B-8222-44C703F58D92}" srcOrd="2" destOrd="0" parTransId="{35E9F9E2-37BD-42CA-AB3F-4201DA8C5649}" sibTransId="{AC2A3F50-B651-4C05-9C8B-A8F890A72D73}"/>
    <dgm:cxn modelId="{CF9E1A65-553C-4315-9B4D-6922C5CF2185}" type="presOf" srcId="{68DFCB13-F778-41C4-88A6-8A8793BBCF6B}" destId="{377E1CD8-0067-463D-AA47-7581C029D7D4}" srcOrd="1" destOrd="0" presId="urn:microsoft.com/office/officeart/2005/8/layout/list1"/>
    <dgm:cxn modelId="{3B646E4E-A757-43B0-9D09-BAE2E05E5ACA}" srcId="{68DFCB13-F778-41C4-88A6-8A8793BBCF6B}" destId="{3CF91B55-1F75-4C87-9C67-A20C9FA05662}" srcOrd="3" destOrd="0" parTransId="{D8385961-8EAF-45B4-BEDD-9F02F740FFF8}" sibTransId="{3B565E79-6F22-4474-B8A9-856B312682A2}"/>
    <dgm:cxn modelId="{047B5950-955A-4E9C-890F-03A957F573F6}" srcId="{68DFCB13-F778-41C4-88A6-8A8793BBCF6B}" destId="{01C29C0B-230A-4A2F-B7AB-59E88CC6B709}" srcOrd="0" destOrd="0" parTransId="{BD00C7DA-D115-4DC8-96E9-9A8238F85148}" sibTransId="{65EB422C-F1D3-4985-A61D-252683A994E5}"/>
    <dgm:cxn modelId="{85999478-29B4-46D0-A378-2630E510203B}" type="presOf" srcId="{6F8CBEB5-BD00-46A8-8598-53DD15BC0D05}" destId="{1111B519-2F2F-4512-95FE-D2216303CCBE}" srcOrd="0" destOrd="6" presId="urn:microsoft.com/office/officeart/2005/8/layout/list1"/>
    <dgm:cxn modelId="{3FDC437B-7FEB-4570-9F57-FAA88171B111}" type="presOf" srcId="{68DFCB13-F778-41C4-88A6-8A8793BBCF6B}" destId="{374EA5B0-C6AD-46BF-9645-7F0ED252FE66}" srcOrd="0" destOrd="0" presId="urn:microsoft.com/office/officeart/2005/8/layout/list1"/>
    <dgm:cxn modelId="{E97BC17C-ACE4-4BB7-BC2E-2E60E6AEC07C}" srcId="{68DFCB13-F778-41C4-88A6-8A8793BBCF6B}" destId="{453A4B04-F76E-490B-8F74-F2CEC3B8BB19}" srcOrd="7" destOrd="0" parTransId="{E8616642-9216-43BC-85CB-23782D39B7D5}" sibTransId="{0C3A3D81-03D4-41F0-9DDD-F21090510B7A}"/>
    <dgm:cxn modelId="{62A354C5-3414-40BA-AD2A-45FD81C86CE9}" srcId="{68DFCB13-F778-41C4-88A6-8A8793BBCF6B}" destId="{6F8CBEB5-BD00-46A8-8598-53DD15BC0D05}" srcOrd="6" destOrd="0" parTransId="{A6EB8F4D-3D4D-468C-8830-DEA557649AF4}" sibTransId="{0628C494-8642-43D7-B0AB-7759DCBF2D72}"/>
    <dgm:cxn modelId="{85A2A9D1-776F-461B-B5DF-FAD4A3C4D680}" srcId="{68DFCB13-F778-41C4-88A6-8A8793BBCF6B}" destId="{F66DA131-6178-426C-B996-591DEB09B7CB}" srcOrd="5" destOrd="0" parTransId="{CEF9C5CB-6317-4711-B2DE-3942A095800E}" sibTransId="{FC3858C3-5945-430C-BB96-A050D5CEC46F}"/>
    <dgm:cxn modelId="{DAA46AD6-6800-4619-A2CB-499FD1424CD7}" srcId="{68DFCB13-F778-41C4-88A6-8A8793BBCF6B}" destId="{8A074394-24C9-4417-B175-5B020C5132EE}" srcOrd="1" destOrd="0" parTransId="{DCE292B1-DDE6-4D66-AF9B-D8F09CB2C44B}" sibTransId="{BB78CF32-946E-44D8-A2CB-37AAD43DE337}"/>
    <dgm:cxn modelId="{B7CD85DB-3BC4-4CD4-9B17-43633D4795FD}" type="presOf" srcId="{C3D409E7-6B38-4B8B-8222-44C703F58D92}" destId="{1111B519-2F2F-4512-95FE-D2216303CCBE}" srcOrd="0" destOrd="2" presId="urn:microsoft.com/office/officeart/2005/8/layout/list1"/>
    <dgm:cxn modelId="{46B5D4E3-A1B8-446E-BF94-1D1B608BD025}" srcId="{68DFCB13-F778-41C4-88A6-8A8793BBCF6B}" destId="{B3BD5EE0-8B02-47DD-9A82-259B22A65496}" srcOrd="8" destOrd="0" parTransId="{C5714091-2FD7-45AB-996F-8D909E729D08}" sibTransId="{0927F4C2-33AC-47BA-87B1-9849DE2EA647}"/>
    <dgm:cxn modelId="{15195BEA-A48C-4BD1-BDAE-C543865F46DB}" type="presOf" srcId="{453A4B04-F76E-490B-8F74-F2CEC3B8BB19}" destId="{1111B519-2F2F-4512-95FE-D2216303CCBE}" srcOrd="0" destOrd="7" presId="urn:microsoft.com/office/officeart/2005/8/layout/list1"/>
    <dgm:cxn modelId="{CA8266EB-2064-4FDD-95F0-C82CE1121510}" type="presOf" srcId="{8A074394-24C9-4417-B175-5B020C5132EE}" destId="{1111B519-2F2F-4512-95FE-D2216303CCBE}" srcOrd="0" destOrd="1" presId="urn:microsoft.com/office/officeart/2005/8/layout/list1"/>
    <dgm:cxn modelId="{5046DFFC-77C3-490C-81E3-6B38AFE3D365}" type="presOf" srcId="{F66DA131-6178-426C-B996-591DEB09B7CB}" destId="{1111B519-2F2F-4512-95FE-D2216303CCBE}" srcOrd="0" destOrd="5" presId="urn:microsoft.com/office/officeart/2005/8/layout/list1"/>
    <dgm:cxn modelId="{4BC55A49-751C-408F-B176-B7C4C361EF7E}" type="presParOf" srcId="{7323760A-CAC8-432D-A020-F77BFA77D735}" destId="{6E63B848-FDAE-4891-8566-8BE88B653316}" srcOrd="0" destOrd="0" presId="urn:microsoft.com/office/officeart/2005/8/layout/list1"/>
    <dgm:cxn modelId="{168861B8-2B13-4D21-A0A3-3DF5AA125F21}" type="presParOf" srcId="{6E63B848-FDAE-4891-8566-8BE88B653316}" destId="{374EA5B0-C6AD-46BF-9645-7F0ED252FE66}" srcOrd="0" destOrd="0" presId="urn:microsoft.com/office/officeart/2005/8/layout/list1"/>
    <dgm:cxn modelId="{FD713377-EE71-47D7-9EBD-4A34BD75CF63}" type="presParOf" srcId="{6E63B848-FDAE-4891-8566-8BE88B653316}" destId="{377E1CD8-0067-463D-AA47-7581C029D7D4}" srcOrd="1" destOrd="0" presId="urn:microsoft.com/office/officeart/2005/8/layout/list1"/>
    <dgm:cxn modelId="{855C1ABF-EE0E-4368-AAF2-7D3585E239A5}" type="presParOf" srcId="{7323760A-CAC8-432D-A020-F77BFA77D735}" destId="{8C78493C-3C9C-4FDF-89DE-DDAC27488222}" srcOrd="1" destOrd="0" presId="urn:microsoft.com/office/officeart/2005/8/layout/list1"/>
    <dgm:cxn modelId="{680373E2-88CE-4642-9587-481CCEFD2578}" type="presParOf" srcId="{7323760A-CAC8-432D-A020-F77BFA77D735}" destId="{1111B519-2F2F-4512-95FE-D2216303CCBE}" srcOrd="2"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l"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Hay una diferencia importante entre la definición de "ingreso" en la metodología nacional y los es</a:t>
          </a:r>
          <a:r>
            <a:rPr lang="en-US" sz="1000" kern="1200">
              <a:solidFill>
                <a:sysClr val="windowText" lastClr="000000"/>
              </a:solidFill>
              <a:latin typeface="Times New Roman" panose="02020603050405020304" pitchFamily="18" charset="0"/>
              <a:cs typeface="Times New Roman" panose="02020603050405020304" pitchFamily="18" charset="0"/>
            </a:rPr>
            <a:t>tán</a:t>
          </a:r>
          <a:r>
            <a:rPr lang="en-US" sz="1000" kern="1200">
              <a:latin typeface="Times New Roman" panose="02020603050405020304" pitchFamily="18" charset="0"/>
              <a:cs typeface="Times New Roman" panose="02020603050405020304" pitchFamily="18" charset="0"/>
            </a:rPr>
            <a:t>dares internacionales.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un ingreso es un aumento del patrimonio neto como resultado de una transacción (MEFP 2014) </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0"/>
          <a:ext cx="5836919" cy="8662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04140" rIns="453010" bIns="71120" numCol="1" spcCol="1270" anchor="t" anchorCtr="0">
          <a:noAutofit/>
        </a:bodyPr>
        <a:lstStyle/>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Los "Gastos" en los estándares internacionales presentan mayores diferencias respecto a la información presentada en metodología nacional y es importante entender que estos no son comparables entre si. </a:t>
          </a:r>
          <a:r>
            <a:rPr lang="en-US" sz="1000" b="1" kern="1200">
              <a:latin typeface="Times New Roman" panose="02020603050405020304" pitchFamily="18" charset="0"/>
              <a:cs typeface="Times New Roman" panose="02020603050405020304" pitchFamily="18" charset="0"/>
            </a:rPr>
            <a:t>En los e</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stándares</a:t>
          </a:r>
          <a:r>
            <a:rPr lang="en-US" sz="1000" b="1" kern="1200">
              <a:latin typeface="Times New Roman" panose="02020603050405020304" pitchFamily="18" charset="0"/>
              <a:cs typeface="Times New Roman" panose="02020603050405020304" pitchFamily="18" charset="0"/>
            </a:rPr>
            <a:t> internacionales, un gasto es una transacción que  disminuye el patrimonio neto del gobierno (MEFP 2014) </a:t>
          </a:r>
        </a:p>
      </dsp:txBody>
      <dsp:txXfrm>
        <a:off x="0" y="0"/>
        <a:ext cx="5836919" cy="866250"/>
      </dsp:txXfrm>
    </dsp:sp>
    <dsp:sp modelId="{377E1CD8-0067-463D-AA47-7581C029D7D4}">
      <dsp:nvSpPr>
        <dsp:cNvPr id="0" name=""/>
        <dsp:cNvSpPr/>
      </dsp:nvSpPr>
      <dsp:spPr>
        <a:xfrm>
          <a:off x="291560" y="4234"/>
          <a:ext cx="1379380" cy="14760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765" y="11439"/>
        <a:ext cx="1364970" cy="1331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64167"/>
          <a:ext cx="5836919" cy="7103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22910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b="0" kern="1200">
              <a:latin typeface="Times New Roman" panose="02020603050405020304" pitchFamily="18" charset="0"/>
              <a:cs typeface="Times New Roman" panose="02020603050405020304" pitchFamily="18" charset="0"/>
            </a:rPr>
            <a:t>Una transacción es un flujo económico que consiste en una interacción entre unidades institucionales </a:t>
          </a:r>
          <a:r>
            <a:rPr lang="en-US" sz="1000" b="1" kern="1200">
              <a:latin typeface="Times New Roman" panose="02020603050405020304" pitchFamily="18" charset="0"/>
              <a:cs typeface="Times New Roman" panose="02020603050405020304" pitchFamily="18" charset="0"/>
            </a:rPr>
            <a:t>por mutuo acuerdo o mediante la aplicación de la ley.... (MEFP 2014)</a:t>
          </a:r>
          <a:r>
            <a:rPr lang="en-US" sz="1000" b="0" kern="1200">
              <a:latin typeface="Times New Roman" panose="02020603050405020304" pitchFamily="18" charset="0"/>
              <a:cs typeface="Times New Roman" panose="02020603050405020304" pitchFamily="18" charset="0"/>
            </a:rPr>
            <a:t>. </a:t>
          </a:r>
          <a:r>
            <a:rPr lang="en-US" sz="1000" b="1" kern="1200">
              <a:latin typeface="Times New Roman" panose="02020603050405020304" pitchFamily="18" charset="0"/>
              <a:cs typeface="Times New Roman" panose="02020603050405020304" pitchFamily="18" charset="0"/>
            </a:rPr>
            <a:t>Las transacciones en activos y pasivos no generan cambios en el patrimonio neto.</a:t>
          </a:r>
        </a:p>
      </dsp:txBody>
      <dsp:txXfrm>
        <a:off x="0" y="164167"/>
        <a:ext cx="5836919" cy="710325"/>
      </dsp:txXfrm>
    </dsp:sp>
    <dsp:sp modelId="{377E1CD8-0067-463D-AA47-7581C029D7D4}">
      <dsp:nvSpPr>
        <dsp:cNvPr id="0" name=""/>
        <dsp:cNvSpPr/>
      </dsp:nvSpPr>
      <dsp:spPr>
        <a:xfrm>
          <a:off x="291560" y="1807"/>
          <a:ext cx="1379380" cy="32472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7412" y="17659"/>
        <a:ext cx="1347676" cy="29301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114959"/>
          <a:ext cx="5836919" cy="7497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45796"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Las "Erogaciones" poseen cierta similitud conceptual a lo que en la metodología nacional se entiende por gasto, sin embargo, poseen algunas diferencias leves. </a:t>
          </a:r>
          <a:r>
            <a:rPr lang="en-US" sz="1000" b="1" kern="1200">
              <a:latin typeface="Times New Roman" panose="02020603050405020304" pitchFamily="18" charset="0"/>
              <a:cs typeface="Times New Roman" panose="02020603050405020304" pitchFamily="18" charset="0"/>
            </a:rPr>
            <a:t>En </a:t>
          </a:r>
          <a:r>
            <a:rPr lang="en-US" sz="1000" b="1" kern="1200">
              <a:solidFill>
                <a:sysClr val="windowText" lastClr="000000"/>
              </a:solidFill>
              <a:latin typeface="Times New Roman" panose="02020603050405020304" pitchFamily="18" charset="0"/>
              <a:cs typeface="Times New Roman" panose="02020603050405020304" pitchFamily="18" charset="0"/>
            </a:rPr>
            <a:t>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solidFill>
                <a:sysClr val="windowText" lastClr="000000"/>
              </a:solidFill>
              <a:latin typeface="Times New Roman" panose="02020603050405020304" pitchFamily="18" charset="0"/>
              <a:cs typeface="Times New Roman" panose="02020603050405020304" pitchFamily="18" charset="0"/>
            </a:rPr>
            <a:t> internacionales, una erogación es la suma de los gastos y la inversión neta en activos </a:t>
          </a:r>
          <a:r>
            <a:rPr lang="en-US" sz="1000" b="1" kern="1200">
              <a:latin typeface="Times New Roman" panose="02020603050405020304" pitchFamily="18" charset="0"/>
              <a:cs typeface="Times New Roman" panose="02020603050405020304" pitchFamily="18" charset="0"/>
            </a:rPr>
            <a:t>no financieros (MEFP 2014) </a:t>
          </a:r>
        </a:p>
      </dsp:txBody>
      <dsp:txXfrm>
        <a:off x="0" y="114959"/>
        <a:ext cx="5836919" cy="749700"/>
      </dsp:txXfrm>
    </dsp:sp>
    <dsp:sp modelId="{377E1CD8-0067-463D-AA47-7581C029D7D4}">
      <dsp:nvSpPr>
        <dsp:cNvPr id="0" name=""/>
        <dsp:cNvSpPr/>
      </dsp:nvSpPr>
      <dsp:spPr>
        <a:xfrm>
          <a:off x="291560" y="11639"/>
          <a:ext cx="1379380" cy="206640"/>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301647" y="21726"/>
        <a:ext cx="1359206" cy="18646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1B519-2F2F-4512-95FE-D2216303CCBE}">
      <dsp:nvSpPr>
        <dsp:cNvPr id="0" name=""/>
        <dsp:cNvSpPr/>
      </dsp:nvSpPr>
      <dsp:spPr>
        <a:xfrm>
          <a:off x="0" y="73866"/>
          <a:ext cx="5836919" cy="178003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53010" tIns="163958" rIns="453010" bIns="71120" numCol="1" spcCol="1270" anchor="t" anchorCtr="0">
          <a:noAutofit/>
        </a:bodyPr>
        <a:lstStyle/>
        <a:p>
          <a:pPr marL="57150" lvl="1" indent="-57150" algn="just" defTabSz="444500">
            <a:lnSpc>
              <a:spcPct val="90000"/>
            </a:lnSpc>
            <a:spcBef>
              <a:spcPct val="0"/>
            </a:spcBef>
            <a:spcAft>
              <a:spcPct val="15000"/>
            </a:spcAft>
            <a:buChar char="•"/>
          </a:pPr>
          <a:r>
            <a:rPr lang="en-US" sz="1000" kern="1200">
              <a:latin typeface="Times New Roman" panose="02020603050405020304" pitchFamily="18" charset="0"/>
              <a:cs typeface="Times New Roman" panose="02020603050405020304" pitchFamily="18" charset="0"/>
            </a:rPr>
            <a:t>Existe una diferencia importante entre el concepto de  resultado fiscal con metodología nacional y los </a:t>
          </a:r>
          <a:r>
            <a:rPr lang="en-US" sz="1000" kern="1200">
              <a:solidFill>
                <a:sysClr val="windowText" lastClr="000000"/>
              </a:solidFill>
              <a:latin typeface="Times New Roman" panose="02020603050405020304" pitchFamily="18" charset="0"/>
              <a:cs typeface="Times New Roman" panose="02020603050405020304" pitchFamily="18" charset="0"/>
            </a:rPr>
            <a:t>estándares internacionales, lo cual </a:t>
          </a:r>
          <a:r>
            <a:rPr lang="en-US" sz="1000" kern="1200">
              <a:latin typeface="Times New Roman" panose="02020603050405020304" pitchFamily="18" charset="0"/>
              <a:cs typeface="Times New Roman" panose="02020603050405020304" pitchFamily="18" charset="0"/>
            </a:rPr>
            <a:t>hace que estos no sean perfectamente comparables. </a:t>
          </a:r>
          <a:r>
            <a:rPr lang="en-US" sz="1000" b="1" kern="1200">
              <a:latin typeface="Times New Roman" panose="02020603050405020304" pitchFamily="18" charset="0"/>
              <a:cs typeface="Times New Roman" panose="02020603050405020304" pitchFamily="18" charset="0"/>
            </a:rPr>
            <a:t>En los </a:t>
          </a:r>
          <a:r>
            <a:rPr lang="en-US" sz="1000" b="1" strike="noStrike" kern="1200">
              <a:solidFill>
                <a:sysClr val="windowText" lastClr="000000"/>
              </a:solidFill>
              <a:latin typeface="Times New Roman" panose="02020603050405020304" pitchFamily="18" charset="0"/>
              <a:cs typeface="Times New Roman" panose="02020603050405020304" pitchFamily="18" charset="0"/>
            </a:rPr>
            <a:t>estándares</a:t>
          </a:r>
          <a:r>
            <a:rPr lang="en-US" sz="1000" b="1" kern="1200">
              <a:latin typeface="Times New Roman" panose="02020603050405020304" pitchFamily="18" charset="0"/>
              <a:cs typeface="Times New Roman" panose="02020603050405020304" pitchFamily="18" charset="0"/>
            </a:rPr>
            <a:t> internacionales existen los siguientes indicadores fiscales:</a:t>
          </a: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1.) Resultado Operativo Neto (NOB) = </a:t>
          </a:r>
          <a:r>
            <a:rPr lang="en-US" sz="1000" b="0" kern="1200">
              <a:latin typeface="Times New Roman" panose="02020603050405020304" pitchFamily="18" charset="0"/>
              <a:cs typeface="Times New Roman" panose="02020603050405020304" pitchFamily="18" charset="0"/>
            </a:rPr>
            <a:t>Ingresos - Gastos</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2.) Resultado Operativo Bruto (GOB) = </a:t>
          </a:r>
          <a:r>
            <a:rPr lang="en-US" sz="1000" b="0" kern="1200">
              <a:latin typeface="Times New Roman" panose="02020603050405020304" pitchFamily="18" charset="0"/>
              <a:cs typeface="Times New Roman" panose="02020603050405020304" pitchFamily="18" charset="0"/>
            </a:rPr>
            <a:t>Ingresos - Gastos + Consumo de capital fijo</a:t>
          </a: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 3.) P</a:t>
          </a:r>
          <a:r>
            <a:rPr lang="en-US" sz="1000" b="1" kern="1200">
              <a:solidFill>
                <a:sysClr val="windowText" lastClr="000000"/>
              </a:solidFill>
              <a:latin typeface="Times New Roman" panose="02020603050405020304" pitchFamily="18" charset="0"/>
              <a:cs typeface="Times New Roman" panose="02020603050405020304" pitchFamily="18" charset="0"/>
            </a:rPr>
            <a:t>réstamo </a:t>
          </a:r>
          <a:r>
            <a:rPr lang="en-US" sz="1000" b="1" kern="1200">
              <a:latin typeface="Times New Roman" panose="02020603050405020304" pitchFamily="18" charset="0"/>
              <a:cs typeface="Times New Roman" panose="02020603050405020304" pitchFamily="18" charset="0"/>
            </a:rPr>
            <a:t>o Endeudamiento Neto (NLB) = </a:t>
          </a:r>
          <a:r>
            <a:rPr lang="en-US" sz="1000" b="0" kern="1200">
              <a:latin typeface="Times New Roman" panose="02020603050405020304" pitchFamily="18" charset="0"/>
              <a:cs typeface="Times New Roman" panose="02020603050405020304" pitchFamily="18" charset="0"/>
            </a:rPr>
            <a:t>NOB - Inversión Neta en Activos no financieros</a:t>
          </a:r>
        </a:p>
        <a:p>
          <a:pPr marL="57150" lvl="1" indent="-57150" algn="just" defTabSz="444500">
            <a:lnSpc>
              <a:spcPct val="90000"/>
            </a:lnSpc>
            <a:spcBef>
              <a:spcPct val="0"/>
            </a:spcBef>
            <a:spcAft>
              <a:spcPct val="15000"/>
            </a:spcAft>
            <a:buChar char="•"/>
          </a:pPr>
          <a:endParaRPr lang="en-US" sz="1000" b="0" kern="1200">
            <a:latin typeface="Times New Roman" panose="02020603050405020304" pitchFamily="18" charset="0"/>
            <a:cs typeface="Times New Roman" panose="02020603050405020304" pitchFamily="18" charset="0"/>
          </a:endParaRPr>
        </a:p>
        <a:p>
          <a:pPr marL="57150" lvl="1" indent="-57150" algn="just" defTabSz="444500">
            <a:lnSpc>
              <a:spcPct val="90000"/>
            </a:lnSpc>
            <a:spcBef>
              <a:spcPct val="0"/>
            </a:spcBef>
            <a:spcAft>
              <a:spcPct val="15000"/>
            </a:spcAft>
            <a:buChar char="•"/>
          </a:pPr>
          <a:r>
            <a:rPr lang="en-US" sz="1000" b="1" kern="1200">
              <a:latin typeface="Times New Roman" panose="02020603050405020304" pitchFamily="18" charset="0"/>
              <a:cs typeface="Times New Roman" panose="02020603050405020304" pitchFamily="18" charset="0"/>
            </a:rPr>
            <a:t>El NOB equivale a las variaciones en el patrimonio neto derivado a transacciones mientras que el NLB también equivale al financiamiento total (MEFP 2014)</a:t>
          </a:r>
        </a:p>
        <a:p>
          <a:pPr marL="57150" lvl="1" indent="-57150" algn="just"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endParaRPr lang="en-US" sz="1000" b="1" kern="1200">
            <a:latin typeface="Times New Roman" panose="02020603050405020304" pitchFamily="18" charset="0"/>
            <a:cs typeface="Times New Roman" panose="02020603050405020304" pitchFamily="18" charset="0"/>
          </a:endParaRPr>
        </a:p>
      </dsp:txBody>
      <dsp:txXfrm>
        <a:off x="0" y="73866"/>
        <a:ext cx="5836919" cy="1780030"/>
      </dsp:txXfrm>
    </dsp:sp>
    <dsp:sp modelId="{377E1CD8-0067-463D-AA47-7581C029D7D4}">
      <dsp:nvSpPr>
        <dsp:cNvPr id="0" name=""/>
        <dsp:cNvSpPr/>
      </dsp:nvSpPr>
      <dsp:spPr>
        <a:xfrm>
          <a:off x="291560" y="1660"/>
          <a:ext cx="1379380" cy="141695"/>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4435" tIns="0" rIns="154435" bIns="0" numCol="1" spcCol="1270" anchor="ctr" anchorCtr="0">
          <a:noAutofit/>
        </a:bodyPr>
        <a:lstStyle/>
        <a:p>
          <a:pPr marL="0" lvl="0" indent="0" algn="l"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Nota Informativa</a:t>
          </a:r>
        </a:p>
      </dsp:txBody>
      <dsp:txXfrm>
        <a:off x="298477" y="8577"/>
        <a:ext cx="1365546" cy="12786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0.59</cdr:x>
      <cdr:y>0.84726</cdr:y>
    </cdr:from>
    <cdr:to>
      <cdr:x>1</cdr:x>
      <cdr:y>0.983</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579899" y="1617794"/>
          <a:ext cx="1097896" cy="25918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10.xml><?xml version="1.0" encoding="utf-8"?>
<c:userShapes xmlns:c="http://schemas.openxmlformats.org/drawingml/2006/chart">
  <cdr:relSizeAnchor xmlns:cdr="http://schemas.openxmlformats.org/drawingml/2006/chartDrawing">
    <cdr:from>
      <cdr:x>0.19655</cdr:x>
      <cdr:y>0.91173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1161225" y="4781549"/>
          <a:ext cx="4746815" cy="4629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1/ Con base a la metodología nacional</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0.81689</cdr:x>
      <cdr:y>0.28701</cdr:y>
    </cdr:from>
    <cdr:to>
      <cdr:x>0.81689</cdr:x>
      <cdr:y>0.88429</cdr:y>
    </cdr:to>
    <cdr:cxnSp macro="">
      <cdr:nvCxnSpPr>
        <cdr:cNvPr id="3" name="Conector recto 2"/>
        <cdr:cNvCxnSpPr/>
      </cdr:nvCxnSpPr>
      <cdr:spPr>
        <a:xfrm xmlns:a="http://schemas.openxmlformats.org/drawingml/2006/main">
          <a:off x="4878109" y="520510"/>
          <a:ext cx="0" cy="1083203"/>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0.4927</cdr:x>
      <cdr:y>0.7937</cdr:y>
    </cdr:from>
    <cdr:to>
      <cdr:x>0.95487</cdr:x>
      <cdr:y>0.7937</cdr:y>
    </cdr:to>
    <cdr:cxnSp macro="">
      <cdr:nvCxnSpPr>
        <cdr:cNvPr id="3" name="Conector recto 2"/>
        <cdr:cNvCxnSpPr/>
      </cdr:nvCxnSpPr>
      <cdr:spPr>
        <a:xfrm xmlns:a="http://schemas.openxmlformats.org/drawingml/2006/main">
          <a:off x="1435100" y="2661110"/>
          <a:ext cx="1346200" cy="0"/>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0.569</cdr:x>
      <cdr:y>0.91257</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1657350" y="3181350"/>
          <a:ext cx="1255395" cy="30480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0.86239</cdr:y>
    </cdr:from>
    <cdr:to>
      <cdr:x>0.45183</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0" y="1790700"/>
          <a:ext cx="1295400" cy="28574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0.12643</cdr:x>
      <cdr:y>0.23504</cdr:y>
    </cdr:from>
    <cdr:to>
      <cdr:x>0.12643</cdr:x>
      <cdr:y>0.84007</cdr:y>
    </cdr:to>
    <cdr:cxnSp macro="">
      <cdr:nvCxnSpPr>
        <cdr:cNvPr id="3" name="Conector recto 2"/>
        <cdr:cNvCxnSpPr/>
      </cdr:nvCxnSpPr>
      <cdr:spPr>
        <a:xfrm xmlns:a="http://schemas.openxmlformats.org/drawingml/2006/main">
          <a:off x="753617" y="523875"/>
          <a:ext cx="0" cy="1348515"/>
        </a:xfrm>
        <a:prstGeom xmlns:a="http://schemas.openxmlformats.org/drawingml/2006/main" prst="line">
          <a:avLst/>
        </a:prstGeom>
        <a:effectLst xmlns:a="http://schemas.openxmlformats.org/drawingml/2006/main">
          <a:outerShdw blurRad="50800" dist="38100" dir="18900000" algn="bl" rotWithShape="0">
            <a:prstClr val="black">
              <a:alpha val="40000"/>
            </a:prstClr>
          </a:outerShdw>
        </a:effectLst>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dr:relSizeAnchor xmlns:cdr="http://schemas.openxmlformats.org/drawingml/2006/chartDrawing">
    <cdr:from>
      <cdr:x>0.58965</cdr:x>
      <cdr:y>0.87179</cdr:y>
    </cdr:from>
    <cdr:to>
      <cdr:x>1</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3514725" y="1943100"/>
          <a:ext cx="2446020" cy="28575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r">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0.82197</cdr:x>
      <cdr:y>0.87463</cdr:y>
    </cdr:from>
    <cdr:to>
      <cdr:x>1</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4709041" y="2674189"/>
          <a:ext cx="1019929" cy="3833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7.xml><?xml version="1.0" encoding="utf-8"?>
<c:userShapes xmlns:c="http://schemas.openxmlformats.org/drawingml/2006/chart">
  <cdr:relSizeAnchor xmlns:cdr="http://schemas.openxmlformats.org/drawingml/2006/chartDrawing">
    <cdr:from>
      <cdr:x>0.77364</cdr:x>
      <cdr:y>0.13199</cdr:y>
    </cdr:from>
    <cdr:to>
      <cdr:x>0.77364</cdr:x>
      <cdr:y>0.71965</cdr:y>
    </cdr:to>
    <cdr:cxnSp macro="">
      <cdr:nvCxnSpPr>
        <cdr:cNvPr id="4" name="Conector recto 3"/>
        <cdr:cNvCxnSpPr/>
      </cdr:nvCxnSpPr>
      <cdr:spPr>
        <a:xfrm xmlns:a="http://schemas.openxmlformats.org/drawingml/2006/main">
          <a:off x="2527528" y="360817"/>
          <a:ext cx="0" cy="1606472"/>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0.77575</cdr:x>
      <cdr:y>0.11275</cdr:y>
    </cdr:from>
    <cdr:to>
      <cdr:x>0.77575</cdr:x>
      <cdr:y>0.63634</cdr:y>
    </cdr:to>
    <cdr:cxnSp macro="">
      <cdr:nvCxnSpPr>
        <cdr:cNvPr id="3" name="Conector recto 2"/>
        <cdr:cNvCxnSpPr/>
      </cdr:nvCxnSpPr>
      <cdr:spPr>
        <a:xfrm xmlns:a="http://schemas.openxmlformats.org/drawingml/2006/main">
          <a:off x="2793049" y="294683"/>
          <a:ext cx="0" cy="1368486"/>
        </a:xfrm>
        <a:prstGeom xmlns:a="http://schemas.openxmlformats.org/drawingml/2006/main" prst="line">
          <a:avLst/>
        </a:prstGeom>
        <a:ln xmlns:a="http://schemas.openxmlformats.org/drawingml/2006/main" w="28575" cap="flat" cmpd="sng" algn="ctr">
          <a:solidFill>
            <a:schemeClr val="tx1"/>
          </a:solidFill>
          <a:prstDash val="dash"/>
          <a:round/>
          <a:headEnd type="none" w="med" len="med"/>
          <a:tailEnd type="none" w="med" len="med"/>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cxnSp>
  </cdr:relSizeAnchor>
  <cdr:relSizeAnchor xmlns:cdr="http://schemas.openxmlformats.org/drawingml/2006/chartDrawing">
    <cdr:from>
      <cdr:x>0</cdr:x>
      <cdr:y>0.85052</cdr:y>
    </cdr:from>
    <cdr:to>
      <cdr:x>0.3026</cdr:x>
      <cdr:y>1</cdr:y>
    </cdr:to>
    <cdr:sp macro="" textlink="">
      <cdr:nvSpPr>
        <cdr:cNvPr id="4" name="Cuadro de texto 2"/>
        <cdr:cNvSpPr txBox="1">
          <a:spLocks xmlns:a="http://schemas.openxmlformats.org/drawingml/2006/main" noChangeArrowheads="1"/>
        </cdr:cNvSpPr>
      </cdr:nvSpPr>
      <cdr:spPr bwMode="auto">
        <a:xfrm xmlns:a="http://schemas.openxmlformats.org/drawingml/2006/main">
          <a:off x="0" y="1570007"/>
          <a:ext cx="1019929" cy="2759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drawings/drawing9.xml><?xml version="1.0" encoding="utf-8"?>
<c:userShapes xmlns:c="http://schemas.openxmlformats.org/drawingml/2006/chart">
  <cdr:relSizeAnchor xmlns:cdr="http://schemas.openxmlformats.org/drawingml/2006/chartDrawing">
    <cdr:from>
      <cdr:x>0.0067</cdr:x>
      <cdr:y>0.90669</cdr:y>
    </cdr:from>
    <cdr:to>
      <cdr:x>0.1926</cdr:x>
      <cdr:y>1</cdr:y>
    </cdr:to>
    <cdr:sp macro="" textlink="">
      <cdr:nvSpPr>
        <cdr:cNvPr id="2" name="Cuadro de texto 2"/>
        <cdr:cNvSpPr txBox="1">
          <a:spLocks xmlns:a="http://schemas.openxmlformats.org/drawingml/2006/main" noChangeArrowheads="1"/>
        </cdr:cNvSpPr>
      </cdr:nvSpPr>
      <cdr:spPr bwMode="auto">
        <a:xfrm xmlns:a="http://schemas.openxmlformats.org/drawingml/2006/main">
          <a:off x="39738" y="3057208"/>
          <a:ext cx="1103262" cy="31464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*Cifras preliminares</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800">
              <a:effectLst/>
              <a:latin typeface="Times New Roman" panose="02020603050405020304" pitchFamily="18" charset="0"/>
              <a:ea typeface="Times New Roman" panose="02020603050405020304" pitchFamily="18" charset="0"/>
              <a:cs typeface="Times New Roman" panose="02020603050405020304" pitchFamily="18" charset="0"/>
            </a:rPr>
            <a:t>Fuente: MINFIN</a:t>
          </a:r>
          <a:endParaRPr lang="es-GT" sz="1100">
            <a:effectLst/>
            <a:latin typeface="Times New Roman" panose="02020603050405020304" pitchFamily="18" charset="0"/>
            <a:ea typeface="Times New Roman" panose="02020603050405020304" pitchFamily="18" charset="0"/>
            <a:cs typeface="Times New Roman" panose="02020603050405020304" pitchFamily="18" charset="0"/>
          </a:endParaRP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a:p xmlns:a="http://schemas.openxmlformats.org/drawingml/2006/main">
          <a:pPr algn="l">
            <a:spcAft>
              <a:spcPts val="0"/>
            </a:spcAft>
          </a:pPr>
          <a:r>
            <a:rPr lang="es-GT" sz="1100">
              <a:effectLst/>
              <a:latin typeface="Times New Roman" panose="02020603050405020304" pitchFamily="18" charset="0"/>
              <a:ea typeface="Times New Roman" panose="02020603050405020304" pitchFamily="18" charset="0"/>
              <a:cs typeface="Times New Roman" panose="02020603050405020304" pitchFamily="18" charset="0"/>
            </a:rPr>
            <a:t>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5B47F-8224-4013-8EE9-B6C68F062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2881</Words>
  <Characters>15850</Characters>
  <Application>Microsoft Office Word</Application>
  <DocSecurity>0</DocSecurity>
  <Lines>132</Lines>
  <Paragraphs>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Informe de las FinanzAs públicas</vt:lpstr>
      <vt:lpstr>Informe de las FinanzAs públicas</vt:lpstr>
    </vt:vector>
  </TitlesOfParts>
  <Company>Dirección de Análisis y Política Fiscal</Company>
  <LinksUpToDate>false</LinksUpToDate>
  <CharactersWithSpaces>18694</CharactersWithSpaces>
  <SharedDoc>false</SharedDoc>
  <HLinks>
    <vt:vector size="102" baseType="variant">
      <vt:variant>
        <vt:i4>1966137</vt:i4>
      </vt:variant>
      <vt:variant>
        <vt:i4>98</vt:i4>
      </vt:variant>
      <vt:variant>
        <vt:i4>0</vt:i4>
      </vt:variant>
      <vt:variant>
        <vt:i4>5</vt:i4>
      </vt:variant>
      <vt:variant>
        <vt:lpwstr/>
      </vt:variant>
      <vt:variant>
        <vt:lpwstr>_Toc71108078</vt:lpwstr>
      </vt:variant>
      <vt:variant>
        <vt:i4>1114169</vt:i4>
      </vt:variant>
      <vt:variant>
        <vt:i4>92</vt:i4>
      </vt:variant>
      <vt:variant>
        <vt:i4>0</vt:i4>
      </vt:variant>
      <vt:variant>
        <vt:i4>5</vt:i4>
      </vt:variant>
      <vt:variant>
        <vt:lpwstr/>
      </vt:variant>
      <vt:variant>
        <vt:lpwstr>_Toc71108077</vt:lpwstr>
      </vt:variant>
      <vt:variant>
        <vt:i4>1245241</vt:i4>
      </vt:variant>
      <vt:variant>
        <vt:i4>86</vt:i4>
      </vt:variant>
      <vt:variant>
        <vt:i4>0</vt:i4>
      </vt:variant>
      <vt:variant>
        <vt:i4>5</vt:i4>
      </vt:variant>
      <vt:variant>
        <vt:lpwstr/>
      </vt:variant>
      <vt:variant>
        <vt:lpwstr>_Toc71108075</vt:lpwstr>
      </vt:variant>
      <vt:variant>
        <vt:i4>1179705</vt:i4>
      </vt:variant>
      <vt:variant>
        <vt:i4>80</vt:i4>
      </vt:variant>
      <vt:variant>
        <vt:i4>0</vt:i4>
      </vt:variant>
      <vt:variant>
        <vt:i4>5</vt:i4>
      </vt:variant>
      <vt:variant>
        <vt:lpwstr/>
      </vt:variant>
      <vt:variant>
        <vt:lpwstr>_Toc71108074</vt:lpwstr>
      </vt:variant>
      <vt:variant>
        <vt:i4>1376313</vt:i4>
      </vt:variant>
      <vt:variant>
        <vt:i4>74</vt:i4>
      </vt:variant>
      <vt:variant>
        <vt:i4>0</vt:i4>
      </vt:variant>
      <vt:variant>
        <vt:i4>5</vt:i4>
      </vt:variant>
      <vt:variant>
        <vt:lpwstr/>
      </vt:variant>
      <vt:variant>
        <vt:lpwstr>_Toc71108073</vt:lpwstr>
      </vt:variant>
      <vt:variant>
        <vt:i4>1048632</vt:i4>
      </vt:variant>
      <vt:variant>
        <vt:i4>68</vt:i4>
      </vt:variant>
      <vt:variant>
        <vt:i4>0</vt:i4>
      </vt:variant>
      <vt:variant>
        <vt:i4>5</vt:i4>
      </vt:variant>
      <vt:variant>
        <vt:lpwstr/>
      </vt:variant>
      <vt:variant>
        <vt:lpwstr>_Toc71108066</vt:lpwstr>
      </vt:variant>
      <vt:variant>
        <vt:i4>1245240</vt:i4>
      </vt:variant>
      <vt:variant>
        <vt:i4>62</vt:i4>
      </vt:variant>
      <vt:variant>
        <vt:i4>0</vt:i4>
      </vt:variant>
      <vt:variant>
        <vt:i4>5</vt:i4>
      </vt:variant>
      <vt:variant>
        <vt:lpwstr/>
      </vt:variant>
      <vt:variant>
        <vt:lpwstr>_Toc71108065</vt:lpwstr>
      </vt:variant>
      <vt:variant>
        <vt:i4>1179704</vt:i4>
      </vt:variant>
      <vt:variant>
        <vt:i4>56</vt:i4>
      </vt:variant>
      <vt:variant>
        <vt:i4>0</vt:i4>
      </vt:variant>
      <vt:variant>
        <vt:i4>5</vt:i4>
      </vt:variant>
      <vt:variant>
        <vt:lpwstr/>
      </vt:variant>
      <vt:variant>
        <vt:lpwstr>_Toc71108064</vt:lpwstr>
      </vt:variant>
      <vt:variant>
        <vt:i4>1310776</vt:i4>
      </vt:variant>
      <vt:variant>
        <vt:i4>50</vt:i4>
      </vt:variant>
      <vt:variant>
        <vt:i4>0</vt:i4>
      </vt:variant>
      <vt:variant>
        <vt:i4>5</vt:i4>
      </vt:variant>
      <vt:variant>
        <vt:lpwstr/>
      </vt:variant>
      <vt:variant>
        <vt:lpwstr>_Toc71108062</vt:lpwstr>
      </vt:variant>
      <vt:variant>
        <vt:i4>1507384</vt:i4>
      </vt:variant>
      <vt:variant>
        <vt:i4>44</vt:i4>
      </vt:variant>
      <vt:variant>
        <vt:i4>0</vt:i4>
      </vt:variant>
      <vt:variant>
        <vt:i4>5</vt:i4>
      </vt:variant>
      <vt:variant>
        <vt:lpwstr/>
      </vt:variant>
      <vt:variant>
        <vt:lpwstr>_Toc71108061</vt:lpwstr>
      </vt:variant>
      <vt:variant>
        <vt:i4>2031675</vt:i4>
      </vt:variant>
      <vt:variant>
        <vt:i4>38</vt:i4>
      </vt:variant>
      <vt:variant>
        <vt:i4>0</vt:i4>
      </vt:variant>
      <vt:variant>
        <vt:i4>5</vt:i4>
      </vt:variant>
      <vt:variant>
        <vt:lpwstr/>
      </vt:variant>
      <vt:variant>
        <vt:lpwstr>_Toc71108059</vt:lpwstr>
      </vt:variant>
      <vt:variant>
        <vt:i4>1966139</vt:i4>
      </vt:variant>
      <vt:variant>
        <vt:i4>32</vt:i4>
      </vt:variant>
      <vt:variant>
        <vt:i4>0</vt:i4>
      </vt:variant>
      <vt:variant>
        <vt:i4>5</vt:i4>
      </vt:variant>
      <vt:variant>
        <vt:lpwstr/>
      </vt:variant>
      <vt:variant>
        <vt:lpwstr>_Toc71108058</vt:lpwstr>
      </vt:variant>
      <vt:variant>
        <vt:i4>1245243</vt:i4>
      </vt:variant>
      <vt:variant>
        <vt:i4>26</vt:i4>
      </vt:variant>
      <vt:variant>
        <vt:i4>0</vt:i4>
      </vt:variant>
      <vt:variant>
        <vt:i4>5</vt:i4>
      </vt:variant>
      <vt:variant>
        <vt:lpwstr/>
      </vt:variant>
      <vt:variant>
        <vt:lpwstr>_Toc71108055</vt:lpwstr>
      </vt:variant>
      <vt:variant>
        <vt:i4>1507387</vt:i4>
      </vt:variant>
      <vt:variant>
        <vt:i4>20</vt:i4>
      </vt:variant>
      <vt:variant>
        <vt:i4>0</vt:i4>
      </vt:variant>
      <vt:variant>
        <vt:i4>5</vt:i4>
      </vt:variant>
      <vt:variant>
        <vt:lpwstr/>
      </vt:variant>
      <vt:variant>
        <vt:lpwstr>_Toc71108051</vt:lpwstr>
      </vt:variant>
      <vt:variant>
        <vt:i4>1441851</vt:i4>
      </vt:variant>
      <vt:variant>
        <vt:i4>14</vt:i4>
      </vt:variant>
      <vt:variant>
        <vt:i4>0</vt:i4>
      </vt:variant>
      <vt:variant>
        <vt:i4>5</vt:i4>
      </vt:variant>
      <vt:variant>
        <vt:lpwstr/>
      </vt:variant>
      <vt:variant>
        <vt:lpwstr>_Toc71108050</vt:lpwstr>
      </vt:variant>
      <vt:variant>
        <vt:i4>2031674</vt:i4>
      </vt:variant>
      <vt:variant>
        <vt:i4>8</vt:i4>
      </vt:variant>
      <vt:variant>
        <vt:i4>0</vt:i4>
      </vt:variant>
      <vt:variant>
        <vt:i4>5</vt:i4>
      </vt:variant>
      <vt:variant>
        <vt:lpwstr/>
      </vt:variant>
      <vt:variant>
        <vt:lpwstr>_Toc71108049</vt:lpwstr>
      </vt:variant>
      <vt:variant>
        <vt:i4>1966138</vt:i4>
      </vt:variant>
      <vt:variant>
        <vt:i4>2</vt:i4>
      </vt:variant>
      <vt:variant>
        <vt:i4>0</vt:i4>
      </vt:variant>
      <vt:variant>
        <vt:i4>5</vt:i4>
      </vt:variant>
      <vt:variant>
        <vt:lpwstr/>
      </vt:variant>
      <vt:variant>
        <vt:lpwstr>_Toc71108048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las FinanzAs públicas</dc:title>
  <dc:subject>Primer Trimestre</dc:subject>
  <dc:creator>DAPF</dc:creator>
  <cp:keywords/>
  <dc:description/>
  <cp:lastModifiedBy>Carlos Herrera</cp:lastModifiedBy>
  <cp:revision>35</cp:revision>
  <cp:lastPrinted>2022-05-03T19:51:00Z</cp:lastPrinted>
  <dcterms:created xsi:type="dcterms:W3CDTF">2022-05-03T18:22:00Z</dcterms:created>
  <dcterms:modified xsi:type="dcterms:W3CDTF">2022-05-03T19:51:00Z</dcterms:modified>
  <cp:category>Ministerio de Finanzas Públicas</cp:category>
</cp:coreProperties>
</file>